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Arial" w:cs="Arial" w:eastAsia="Arial" w:hAnsi="Arial"/>
          <w:b/>
          <w:bCs/>
          <w:color w:val="000000"/>
          <w:sz w:val="30"/>
          <w:szCs w:val="30"/>
        </w:rPr>
        <w:t xml:space="preserve">ANANDA V. GUBBI, Ph.D.</w:t>
      </w:r>
    </w:p>
    <w:p>
      <w:pPr>
        <w:spacing w:after="20"/>
        <w:jc w:val="center"/>
      </w:pPr>
      <w:r>
        <w:rPr>
          <w:rFonts w:ascii="Arial" w:cs="Arial" w:eastAsia="Arial" w:hAnsi="Arial"/>
          <w:color w:val="000000"/>
          <w:sz w:val="20"/>
          <w:szCs w:val="20"/>
        </w:rPr>
        <w:t xml:space="preserve">ananda.gubbi@gmail.com</w:t>
      </w:r>
      <w:r>
        <w:rPr>
          <w:rFonts w:ascii="Arial" w:cs="Arial" w:eastAsia="Arial" w:hAnsi="Arial"/>
          <w:color w:val="000000"/>
          <w:sz w:val="20"/>
          <w:szCs w:val="20"/>
        </w:rPr>
        <w:t xml:space="preserve">  |  </w:t>
      </w:r>
      <w:r>
        <w:rPr>
          <w:rFonts w:ascii="Arial" w:cs="Arial" w:eastAsia="Arial" w:hAnsi="Arial"/>
          <w:color w:val="000000"/>
          <w:sz w:val="20"/>
          <w:szCs w:val="20"/>
        </w:rPr>
        <w:t xml:space="preserve">724-234-4642 (Office)</w:t>
      </w:r>
      <w:r>
        <w:rPr>
          <w:rFonts w:ascii="Arial" w:cs="Arial" w:eastAsia="Arial" w:hAnsi="Arial"/>
          <w:color w:val="000000"/>
          <w:sz w:val="20"/>
          <w:szCs w:val="20"/>
        </w:rPr>
        <w:t xml:space="preserve">  |  </w:t>
      </w:r>
      <w:r>
        <w:rPr>
          <w:rFonts w:ascii="Arial" w:cs="Arial" w:eastAsia="Arial" w:hAnsi="Arial"/>
          <w:color w:val="000000"/>
          <w:sz w:val="20"/>
          <w:szCs w:val="20"/>
        </w:rPr>
        <w:t xml:space="preserve">678-777-5397 (Cell)</w:t>
      </w:r>
    </w:p>
    <w:p>
      <w:pPr>
        <w:spacing w:after="20"/>
        <w:jc w:val="center"/>
      </w:pPr>
      <w:r>
        <w:rPr>
          <w:rFonts w:ascii="Arial" w:cs="Arial" w:eastAsia="Arial" w:hAnsi="Arial"/>
          <w:color w:val="000000"/>
          <w:sz w:val="20"/>
          <w:szCs w:val="20"/>
        </w:rPr>
        <w:t xml:space="preserve">Slippery Rock, PA</w:t>
      </w:r>
      <w:r>
        <w:rPr>
          <w:rFonts w:ascii="Arial" w:cs="Arial" w:eastAsia="Arial" w:hAnsi="Arial"/>
          <w:color w:val="000000"/>
          <w:sz w:val="20"/>
          <w:szCs w:val="20"/>
        </w:rPr>
        <w:t xml:space="preserve">  |  </w:t>
      </w:r>
      <w:r>
        <w:rPr>
          <w:rFonts w:ascii="Arial" w:cs="Arial" w:eastAsia="Arial" w:hAnsi="Arial"/>
          <w:i/>
          <w:iCs/>
          <w:color w:val="000000"/>
          <w:sz w:val="20"/>
          <w:szCs w:val="20"/>
        </w:rPr>
        <w:t xml:space="preserve">Relocating to Apex, NC (Fall 2026)</w:t>
      </w:r>
    </w:p>
    <w:p>
      <w:pPr>
        <w:pBdr>
          <w:bottom w:val="single" w:color="000000" w:sz="4" w:space="2"/>
        </w:pBdr>
        <w:spacing w:before="280" w:after="100"/>
      </w:pPr>
      <w:r>
        <w:rPr>
          <w:rFonts w:ascii="Arial" w:cs="Arial" w:eastAsia="Arial" w:hAnsi="Arial"/>
          <w:b/>
          <w:bCs/>
          <w:caps/>
          <w:color w:val="000000"/>
          <w:sz w:val="24"/>
          <w:szCs w:val="24"/>
        </w:rPr>
        <w:t xml:space="preserve">Professional Summary</w:t>
      </w:r>
    </w:p>
    <w:p>
      <w:pPr>
        <w:spacing w:after="80"/>
      </w:pPr>
      <w:r>
        <w:rPr>
          <w:rFonts w:ascii="Arial" w:cs="Arial" w:eastAsia="Arial" w:hAnsi="Arial"/>
          <w:color w:val="000000"/>
          <w:sz w:val="21"/>
          <w:szCs w:val="21"/>
        </w:rPr>
        <w:t xml:space="preserve">PhD biostatistician with 26+ years of pharmaceutical industry experience spanning clinical trial design, regulatory submissions, and cross-functional statistical leadership. Deep expertise in inflammatory and immunological (I&amp;I) diseases including atopic dermatitis, plaque psoriasis, eczema, asthma, COPD, allergic rhinitis, rheumatoid arthritis, and spinal muscular atrophy. Contributor to 9 successful FDA approvals across dermatology, immunology, oncology, pulmonary, and hematology indications. Trained as an FDA Statistical Reviewer at CDER (Division of Biometrics) with firsthand knowledge of FDA review methodology, preferred statistical approaches, and regulatory expectations.</w:t>
      </w:r>
    </w:p>
    <w:p>
      <w:pPr>
        <w:spacing w:after="80"/>
      </w:pPr>
      <w:r>
        <w:rPr>
          <w:rFonts w:ascii="Arial" w:cs="Arial" w:eastAsia="Arial" w:hAnsi="Arial"/>
          <w:color w:val="000000"/>
          <w:sz w:val="21"/>
          <w:szCs w:val="21"/>
        </w:rPr>
        <w:t xml:space="preserve">Currently serving as Director of Biostatistics at SFA Therapeutics, leading dermatology autoimmune clinical trials in plaque psoriasis and eczema. Authored over 100 statistical analysis plans (SAPs), 100 TLG shells, and approximately 50 statistical sections for clinical protocols across Phases I through IV. Experienced in Bayesian and adaptive trial designs, clinical trial simulation, CDISC standards (SDTM, ADaM), missing data imputation methods, multiplicity adjustment, and CRO biostatistics team oversight. Seeking a permanent leadership role to apply this cross-therapeutic regulatory depth to a focused I&amp;I pipeline. 28 peer-reviewed publications.</w:t>
      </w:r>
    </w:p>
    <w:p>
      <w:pPr>
        <w:pBdr>
          <w:bottom w:val="single" w:color="000000" w:sz="4" w:space="2"/>
        </w:pBdr>
        <w:spacing w:before="280" w:after="100"/>
      </w:pPr>
      <w:r>
        <w:rPr>
          <w:rFonts w:ascii="Arial" w:cs="Arial" w:eastAsia="Arial" w:hAnsi="Arial"/>
          <w:b/>
          <w:bCs/>
          <w:caps/>
          <w:color w:val="000000"/>
          <w:sz w:val="24"/>
          <w:szCs w:val="24"/>
        </w:rPr>
        <w:t xml:space="preserve">Core Competencies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56"/>
        <w:gridCol w:w="5256"/>
      </w:tblGrid>
      <w:tr>
        <w:tc>
          <w:tcPr>
            <w:tcW w:type="dxa" w:w="5256"/>
            <w:tcBorders>
              <w:top w:val="none"/>
              <w:left w:val="none"/>
              <w:bottom w:val="single" w:color="000000" w:sz="2"/>
              <w:right w:val="none"/>
            </w:tcBorders>
            <w:tcMar>
              <w:top w:type="dxa" w:w="40"/>
              <w:left w:type="dxa" w:w="80"/>
              <w:bottom w:type="dxa" w:w="40"/>
              <w:right w:type="dxa" w:w="80"/>
            </w:tcMar>
          </w:tcPr>
          <w:p>
            <w:pPr>
              <w:spacing w:after="20"/>
            </w:pPr>
            <w:r>
              <w:rPr>
                <w:rFonts w:ascii="Arial" w:cs="Arial" w:eastAsia="Arial" w:hAnsi="Arial"/>
                <w:b/>
                <w:bCs/>
                <w:color w:val="000000"/>
                <w:sz w:val="20"/>
                <w:szCs w:val="20"/>
              </w:rPr>
              <w:t xml:space="preserve">Statistical &amp; Technical</w:t>
            </w:r>
          </w:p>
        </w:tc>
        <w:tc>
          <w:tcPr>
            <w:tcW w:type="dxa" w:w="5256"/>
            <w:tcBorders>
              <w:top w:val="none"/>
              <w:left w:val="none"/>
              <w:bottom w:val="single" w:color="000000" w:sz="2"/>
              <w:right w:val="none"/>
            </w:tcBorders>
            <w:tcMar>
              <w:top w:type="dxa" w:w="40"/>
              <w:left w:type="dxa" w:w="80"/>
              <w:bottom w:type="dxa" w:w="40"/>
              <w:right w:type="dxa" w:w="80"/>
            </w:tcMar>
          </w:tcPr>
          <w:p>
            <w:pPr>
              <w:spacing w:after="20"/>
            </w:pPr>
            <w:r>
              <w:rPr>
                <w:rFonts w:ascii="Arial" w:cs="Arial" w:eastAsia="Arial" w:hAnsi="Arial"/>
                <w:b/>
                <w:bCs/>
                <w:color w:val="000000"/>
                <w:sz w:val="20"/>
                <w:szCs w:val="20"/>
              </w:rPr>
              <w:t xml:space="preserve">Functional &amp; Regulatory</w:t>
            </w:r>
          </w:p>
        </w:tc>
      </w:tr>
      <w:tr>
        <w:tc>
          <w:tcPr>
            <w:tcW w:type="dxa" w:w="5256"/>
            <w:tcBorders>
              <w:top w:val="none"/>
              <w:left w:val="none"/>
              <w:bottom w:val="none"/>
              <w:right w:val="none"/>
            </w:tcBorders>
            <w:tcMar>
              <w:top w:type="dxa" w:w="40"/>
              <w:left w:type="dxa" w:w="80"/>
              <w:bottom w:type="dxa" w:w="40"/>
              <w:right w:type="dxa" w:w="80"/>
            </w:tcMar>
          </w:tcPr>
          <w:p>
            <w:pPr>
              <w:spacing w:after="30"/>
            </w:pPr>
            <w:r>
              <w:rPr>
                <w:rFonts w:ascii="Arial" w:cs="Arial" w:eastAsia="Arial" w:hAnsi="Arial"/>
                <w:color w:val="000000"/>
                <w:sz w:val="20"/>
                <w:szCs w:val="20"/>
              </w:rPr>
              <w:t xml:space="preserve">Phase II/III study design and sample size estimation</w:t>
            </w:r>
          </w:p>
          <w:p>
            <w:pPr>
              <w:spacing w:after="30"/>
            </w:pPr>
            <w:r>
              <w:rPr>
                <w:rFonts w:ascii="Arial" w:cs="Arial" w:eastAsia="Arial" w:hAnsi="Arial"/>
                <w:color w:val="000000"/>
                <w:sz w:val="20"/>
                <w:szCs w:val="20"/>
              </w:rPr>
              <w:t xml:space="preserve">Bayesian methods (BOIN, adaptive, simulation)</w:t>
            </w:r>
          </w:p>
          <w:p>
            <w:pPr>
              <w:spacing w:after="30"/>
            </w:pPr>
            <w:r>
              <w:rPr>
                <w:rFonts w:ascii="Arial" w:cs="Arial" w:eastAsia="Arial" w:hAnsi="Arial"/>
                <w:color w:val="000000"/>
                <w:sz w:val="20"/>
                <w:szCs w:val="20"/>
              </w:rPr>
              <w:t xml:space="preserve">Adaptive designs (MAMS, seamless Phase II/III)</w:t>
            </w:r>
          </w:p>
          <w:p>
            <w:pPr>
              <w:spacing w:after="30"/>
            </w:pPr>
            <w:r>
              <w:rPr>
                <w:rFonts w:ascii="Arial" w:cs="Arial" w:eastAsia="Arial" w:hAnsi="Arial"/>
                <w:color w:val="000000"/>
                <w:sz w:val="20"/>
                <w:szCs w:val="20"/>
              </w:rPr>
              <w:t xml:space="preserve">Missing data imputation (MCMC, Rubin’s method)</w:t>
            </w:r>
          </w:p>
          <w:p>
            <w:pPr>
              <w:spacing w:after="30"/>
            </w:pPr>
            <w:r>
              <w:rPr>
                <w:rFonts w:ascii="Arial" w:cs="Arial" w:eastAsia="Arial" w:hAnsi="Arial"/>
                <w:color w:val="000000"/>
                <w:sz w:val="20"/>
                <w:szCs w:val="20"/>
              </w:rPr>
              <w:t xml:space="preserve">Multiplicity adjustment and estimand framework</w:t>
            </w:r>
          </w:p>
          <w:p>
            <w:pPr>
              <w:spacing w:after="30"/>
            </w:pPr>
            <w:r>
              <w:rPr>
                <w:rFonts w:ascii="Arial" w:cs="Arial" w:eastAsia="Arial" w:hAnsi="Arial"/>
                <w:color w:val="000000"/>
                <w:sz w:val="20"/>
                <w:szCs w:val="20"/>
              </w:rPr>
              <w:t xml:space="preserve">SAS 9.4 (advanced programming and validation)</w:t>
            </w:r>
          </w:p>
          <w:p>
            <w:pPr>
              <w:spacing w:after="30"/>
            </w:pPr>
            <w:r>
              <w:rPr>
                <w:rFonts w:ascii="Arial" w:cs="Arial" w:eastAsia="Arial" w:hAnsi="Arial"/>
                <w:color w:val="000000"/>
                <w:sz w:val="20"/>
                <w:szCs w:val="20"/>
              </w:rPr>
              <w:t xml:space="preserve">CDISC standards: SDTM, ADaM specifications</w:t>
            </w:r>
          </w:p>
          <w:p>
            <w:pPr>
              <w:spacing w:after="30"/>
            </w:pPr>
            <w:r>
              <w:rPr>
                <w:rFonts w:ascii="Arial" w:cs="Arial" w:eastAsia="Arial" w:hAnsi="Arial"/>
                <w:color w:val="000000"/>
                <w:sz w:val="20"/>
                <w:szCs w:val="20"/>
              </w:rPr>
              <w:t xml:space="preserve">Clinical trial simulation and power analysis</w:t>
            </w:r>
          </w:p>
          <w:p>
            <w:pPr>
              <w:spacing w:after="30"/>
            </w:pPr>
            <w:r>
              <w:rPr>
                <w:rFonts w:ascii="Arial" w:cs="Arial" w:eastAsia="Arial" w:hAnsi="Arial"/>
                <w:color w:val="000000"/>
                <w:sz w:val="20"/>
                <w:szCs w:val="20"/>
              </w:rPr>
              <w:t xml:space="preserve">Real-world data (RWD) and real-world evidence (RWE)</w:t>
            </w:r>
          </w:p>
        </w:tc>
        <w:tc>
          <w:tcPr>
            <w:tcW w:type="dxa" w:w="5256"/>
            <w:tcBorders>
              <w:top w:val="none"/>
              <w:left w:val="none"/>
              <w:bottom w:val="none"/>
              <w:right w:val="none"/>
            </w:tcBorders>
            <w:tcMar>
              <w:top w:type="dxa" w:w="40"/>
              <w:left w:type="dxa" w:w="80"/>
              <w:bottom w:type="dxa" w:w="40"/>
              <w:right w:type="dxa" w:w="80"/>
            </w:tcMar>
          </w:tcPr>
          <w:p>
            <w:pPr>
              <w:spacing w:after="30"/>
            </w:pPr>
            <w:r>
              <w:rPr>
                <w:rFonts w:ascii="Arial" w:cs="Arial" w:eastAsia="Arial" w:hAnsi="Arial"/>
                <w:color w:val="000000"/>
                <w:sz w:val="20"/>
                <w:szCs w:val="20"/>
              </w:rPr>
              <w:t xml:space="preserve">FDA submissions (9 approvals, 6 NDA reviews as FDA reviewer)</w:t>
            </w:r>
          </w:p>
          <w:p>
            <w:pPr>
              <w:spacing w:after="30"/>
            </w:pPr>
            <w:r>
              <w:rPr>
                <w:rFonts w:ascii="Arial" w:cs="Arial" w:eastAsia="Arial" w:hAnsi="Arial"/>
                <w:color w:val="000000"/>
                <w:sz w:val="20"/>
                <w:szCs w:val="20"/>
              </w:rPr>
              <w:t xml:space="preserve">FDA representation and negotiation</w:t>
            </w:r>
          </w:p>
          <w:p>
            <w:pPr>
              <w:spacing w:after="30"/>
            </w:pPr>
            <w:r>
              <w:rPr>
                <w:rFonts w:ascii="Arial" w:cs="Arial" w:eastAsia="Arial" w:hAnsi="Arial"/>
                <w:color w:val="000000"/>
                <w:sz w:val="20"/>
                <w:szCs w:val="20"/>
              </w:rPr>
              <w:t xml:space="preserve">SAP authoring (100+ across therapeutic areas)</w:t>
            </w:r>
          </w:p>
          <w:p>
            <w:pPr>
              <w:spacing w:after="30"/>
            </w:pPr>
            <w:r>
              <w:rPr>
                <w:rFonts w:ascii="Arial" w:cs="Arial" w:eastAsia="Arial" w:hAnsi="Arial"/>
                <w:color w:val="000000"/>
                <w:sz w:val="20"/>
                <w:szCs w:val="20"/>
              </w:rPr>
              <w:t xml:space="preserve">Protocol statistical sections (~50 authored)</w:t>
            </w:r>
          </w:p>
          <w:p>
            <w:pPr>
              <w:spacing w:after="30"/>
            </w:pPr>
            <w:r>
              <w:rPr>
                <w:rFonts w:ascii="Arial" w:cs="Arial" w:eastAsia="Arial" w:hAnsi="Arial"/>
                <w:color w:val="000000"/>
                <w:sz w:val="20"/>
                <w:szCs w:val="20"/>
              </w:rPr>
              <w:t xml:space="preserve">CRO biostatistics team oversight and QA</w:t>
            </w:r>
          </w:p>
          <w:p>
            <w:pPr>
              <w:spacing w:after="30"/>
            </w:pPr>
            <w:r>
              <w:rPr>
                <w:rFonts w:ascii="Arial" w:cs="Arial" w:eastAsia="Arial" w:hAnsi="Arial"/>
                <w:color w:val="000000"/>
                <w:sz w:val="20"/>
                <w:szCs w:val="20"/>
              </w:rPr>
              <w:t xml:space="preserve">DSMB/DMC support and safety report production</w:t>
            </w:r>
          </w:p>
          <w:p>
            <w:pPr>
              <w:spacing w:after="30"/>
            </w:pPr>
            <w:r>
              <w:rPr>
                <w:rFonts w:ascii="Arial" w:cs="Arial" w:eastAsia="Arial" w:hAnsi="Arial"/>
                <w:color w:val="000000"/>
                <w:sz w:val="20"/>
                <w:szCs w:val="20"/>
              </w:rPr>
              <w:t xml:space="preserve">Cross-functional collaboration in matrix organizations</w:t>
            </w:r>
          </w:p>
          <w:p>
            <w:pPr>
              <w:spacing w:after="30"/>
            </w:pPr>
            <w:r>
              <w:rPr>
                <w:rFonts w:ascii="Arial" w:cs="Arial" w:eastAsia="Arial" w:hAnsi="Arial"/>
                <w:color w:val="000000"/>
                <w:sz w:val="20"/>
                <w:szCs w:val="20"/>
              </w:rPr>
              <w:t xml:space="preserve">ICH guidelines and FDA/EMA regulatory guidance</w:t>
            </w:r>
          </w:p>
          <w:p>
            <w:pPr>
              <w:spacing w:after="30"/>
            </w:pPr>
            <w:r>
              <w:rPr>
                <w:rFonts w:ascii="Arial" w:cs="Arial" w:eastAsia="Arial" w:hAnsi="Arial"/>
                <w:color w:val="000000"/>
                <w:sz w:val="20"/>
                <w:szCs w:val="20"/>
              </w:rPr>
              <w:t xml:space="preserve">Publication strategy and co-authorship (28 papers)</w:t>
            </w:r>
          </w:p>
        </w:tc>
      </w:tr>
    </w:tbl>
    <w:p>
      <w:pPr>
        <w:pBdr>
          <w:bottom w:val="single" w:color="000000" w:sz="4" w:space="2"/>
        </w:pBdr>
        <w:spacing w:before="280" w:after="100"/>
      </w:pPr>
      <w:r>
        <w:rPr>
          <w:rFonts w:ascii="Arial" w:cs="Arial" w:eastAsia="Arial" w:hAnsi="Arial"/>
          <w:b/>
          <w:bCs/>
          <w:caps/>
          <w:color w:val="000000"/>
          <w:sz w:val="24"/>
          <w:szCs w:val="24"/>
        </w:rPr>
        <w:t xml:space="preserve">FDA Training &amp; Regulatory Background</w:t>
      </w:r>
    </w:p>
    <w:p>
      <w:pPr>
        <w:spacing w:after="80"/>
      </w:pPr>
      <w:r>
        <w:rPr>
          <w:rFonts w:ascii="Arial" w:cs="Arial" w:eastAsia="Arial" w:hAnsi="Arial"/>
          <w:b/>
          <w:bCs/>
          <w:color w:val="000000"/>
          <w:sz w:val="21"/>
          <w:szCs w:val="21"/>
        </w:rPr>
        <w:t xml:space="preserve">Statistical Reviewer, Division of Biometrics, CDER, FDA</w:t>
      </w:r>
      <w:r>
        <w:rPr>
          <w:rFonts w:ascii="Arial" w:cs="Arial" w:eastAsia="Arial" w:hAnsi="Arial"/>
          <w:color w:val="000000"/>
          <w:sz w:val="21"/>
          <w:szCs w:val="21"/>
        </w:rPr>
        <w:t xml:space="preserve"> (March 1996 – January 1998). Received formal training in FDA statistical review methodology for clinical trials. Reviewed 6 New Drug Applications (NDAs) including cardiovascular statins for Pfizer and AstraZeneca. Conducted 14 sponsor consultations advising on statistical issues across Phases I through IV. Reviewed 2 carcinogenic studies associated with NDAs/INDs. Performed stability analyses for shelf-life determination. Presented research at the Helsinki International Conference (11% acceptance rate). This experience informs a regulatory-first approach to study design, SAP development, and submission strategy.</w:t>
      </w:r>
    </w:p>
    <w:p>
      <w:pPr>
        <w:pBdr>
          <w:bottom w:val="single" w:color="000000" w:sz="4" w:space="2"/>
        </w:pBdr>
        <w:spacing w:before="280" w:after="100"/>
      </w:pPr>
      <w:r>
        <w:rPr>
          <w:rFonts w:ascii="Arial" w:cs="Arial" w:eastAsia="Arial" w:hAnsi="Arial"/>
          <w:b/>
          <w:bCs/>
          <w:caps/>
          <w:color w:val="000000"/>
          <w:sz w:val="24"/>
          <w:szCs w:val="24"/>
        </w:rPr>
        <w:t xml:space="preserve">Selected Immunology / Dermatology / Respiratory Experience</w:t>
      </w:r>
    </w:p>
    <w:p>
      <w:pPr>
        <w:spacing w:after="80"/>
      </w:pPr>
      <w:r>
        <w:rPr>
          <w:rFonts w:ascii="Arial" w:cs="Arial" w:eastAsia="Arial" w:hAnsi="Arial"/>
          <w:i/>
          <w:iCs/>
          <w:color w:val="000000"/>
          <w:sz w:val="20"/>
          <w:szCs w:val="20"/>
        </w:rPr>
        <w:t xml:space="preserve">This section consolidates experience directly relevant to I&amp;I-focused clinical development.</w:t>
      </w:r>
    </w:p>
    <w:p>
      <w:pPr>
        <w:spacing w:before="160" w:after="40"/>
      </w:pPr>
      <w:r>
        <w:rPr>
          <w:rFonts w:ascii="Arial" w:cs="Arial" w:eastAsia="Arial" w:hAnsi="Arial"/>
          <w:b/>
          <w:bCs/>
          <w:color w:val="000000"/>
          <w:sz w:val="21"/>
          <w:szCs w:val="21"/>
        </w:rPr>
        <w:t xml:space="preserve">Director, Biostatistics</w:t>
      </w:r>
      <w:r>
        <w:rPr>
          <w:rFonts w:ascii="Arial" w:cs="Arial" w:eastAsia="Arial" w:hAnsi="Arial"/>
          <w:color w:val="000000"/>
          <w:sz w:val="21"/>
          <w:szCs w:val="21"/>
        </w:rPr>
        <w:t xml:space="preserve"> | </w:t>
      </w:r>
      <w:r>
        <w:rPr>
          <w:rFonts w:ascii="Arial" w:cs="Arial" w:eastAsia="Arial" w:hAnsi="Arial"/>
          <w:color w:val="000000"/>
          <w:sz w:val="21"/>
          <w:szCs w:val="21"/>
        </w:rPr>
        <w:t xml:space="preserve">SFA Therapeutics</w:t>
      </w:r>
      <w:r>
        <w:rPr>
          <w:rFonts w:ascii="Arial" w:cs="Arial" w:eastAsia="Arial" w:hAnsi="Arial"/>
          <w:i/>
          <w:iCs/>
          <w:color w:val="000000"/>
          <w:sz w:val="20"/>
          <w:szCs w:val="20"/>
        </w:rPr>
        <w:t xml:space="preserve">  (May 2024 – Present)</w:t>
      </w:r>
    </w:p>
    <w:p>
      <w:pPr>
        <w:pStyle w:val="ListParagraph"/>
        <w:numPr>
          <w:ilvl w:val="0"/>
          <w:numId w:val="2"/>
        </w:numPr>
        <w:spacing w:after="50"/>
      </w:pPr>
      <w:r>
        <w:rPr>
          <w:rFonts w:ascii="Arial" w:cs="Arial" w:eastAsia="Arial" w:hAnsi="Arial"/>
          <w:color w:val="000000"/>
          <w:sz w:val="21"/>
          <w:szCs w:val="21"/>
        </w:rPr>
        <w:t xml:space="preserve">Statistical lead for dermatology autoimmune clinical program including plaque psoriasis and eczema trials. Designing statistical sections for protocols, developing SAPs and TLG shells, and performing hands-on SAS 9.4 analysis. Also supporting prostate cancer Phase I study and planning Phase Ib proof-of-concept study for NCE SFA-002, a multi-cytokine inhibitor acting on 6 cytokines simultaneously.</w:t>
      </w:r>
    </w:p>
    <w:p>
      <w:pPr>
        <w:spacing w:before="160" w:after="40"/>
      </w:pPr>
      <w:r>
        <w:rPr>
          <w:rFonts w:ascii="Arial" w:cs="Arial" w:eastAsia="Arial" w:hAnsi="Arial"/>
          <w:b/>
          <w:bCs/>
          <w:color w:val="000000"/>
          <w:sz w:val="21"/>
          <w:szCs w:val="21"/>
        </w:rPr>
        <w:t xml:space="preserve">Executive Operations Biostatistician</w:t>
      </w:r>
      <w:r>
        <w:rPr>
          <w:rFonts w:ascii="Arial" w:cs="Arial" w:eastAsia="Arial" w:hAnsi="Arial"/>
          <w:color w:val="000000"/>
          <w:sz w:val="21"/>
          <w:szCs w:val="21"/>
        </w:rPr>
        <w:t xml:space="preserve"> | </w:t>
      </w:r>
      <w:r>
        <w:rPr>
          <w:rFonts w:ascii="Arial" w:cs="Arial" w:eastAsia="Arial" w:hAnsi="Arial"/>
          <w:color w:val="000000"/>
          <w:sz w:val="21"/>
          <w:szCs w:val="21"/>
        </w:rPr>
        <w:t xml:space="preserve">Teva Branded Pharmaceuticals (via Kelly Services)</w:t>
      </w:r>
      <w:r>
        <w:rPr>
          <w:rFonts w:ascii="Arial" w:cs="Arial" w:eastAsia="Arial" w:hAnsi="Arial"/>
          <w:i/>
          <w:iCs/>
          <w:color w:val="000000"/>
          <w:sz w:val="20"/>
          <w:szCs w:val="20"/>
        </w:rPr>
        <w:t xml:space="preserve">  (May 2018 – April 2019)</w:t>
      </w:r>
    </w:p>
    <w:p>
      <w:pPr>
        <w:pStyle w:val="ListParagraph"/>
        <w:numPr>
          <w:ilvl w:val="0"/>
          <w:numId w:val="3"/>
        </w:numPr>
        <w:spacing w:after="50"/>
      </w:pPr>
      <w:r>
        <w:rPr>
          <w:rFonts w:ascii="Arial" w:cs="Arial" w:eastAsia="Arial" w:hAnsi="Arial"/>
          <w:color w:val="000000"/>
          <w:sz w:val="21"/>
          <w:szCs w:val="21"/>
        </w:rPr>
        <w:t xml:space="preserve">Statistical lead across 5 studies and 2 publication projects spanning asthma (Phases I, II, and IV), migraine (Phase IV), fibromyalgia (Phase II), schizophrenia (Phase III), and a post-approval asthma safety study in women.</w:t>
      </w:r>
    </w:p>
    <w:p>
      <w:pPr>
        <w:pStyle w:val="ListParagraph"/>
        <w:numPr>
          <w:ilvl w:val="0"/>
          <w:numId w:val="3"/>
        </w:numPr>
        <w:spacing w:after="50"/>
      </w:pPr>
      <w:r>
        <w:rPr>
          <w:rFonts w:ascii="Arial" w:cs="Arial" w:eastAsia="Arial" w:hAnsi="Arial"/>
          <w:color w:val="000000"/>
          <w:sz w:val="21"/>
          <w:szCs w:val="21"/>
        </w:rPr>
        <w:t xml:space="preserve">Developed adaptive design SAS code for statistical efficacy analyses involving Markov Chain Monte Carlo (MCMC) imputations for missing observations, combined results from 500 imputed datasets using Rubin’s method (Proc MIAnalyze), and programmed mixed models (Proc Mixed, Proc GEE) for dichotomized response rate analysis.</w:t>
      </w:r>
    </w:p>
    <w:p>
      <w:pPr>
        <w:pStyle w:val="ListParagraph"/>
        <w:numPr>
          <w:ilvl w:val="0"/>
          <w:numId w:val="3"/>
        </w:numPr>
        <w:spacing w:after="50"/>
      </w:pPr>
      <w:r>
        <w:rPr>
          <w:rFonts w:ascii="Arial" w:cs="Arial" w:eastAsia="Arial" w:hAnsi="Arial"/>
          <w:color w:val="000000"/>
          <w:sz w:val="21"/>
          <w:szCs w:val="21"/>
        </w:rPr>
        <w:t xml:space="preserve">Co-authored peer-reviewed publication and poster on eosinophil variability in placebo-treated patients with eosinophilic asthma (Corren, Du, Gubbi, Vanlandingham). Presented at AAAAI 2019, San Francisco.</w:t>
      </w:r>
    </w:p>
    <w:p>
      <w:pPr>
        <w:pStyle w:val="ListParagraph"/>
        <w:numPr>
          <w:ilvl w:val="0"/>
          <w:numId w:val="3"/>
        </w:numPr>
        <w:spacing w:after="50"/>
      </w:pPr>
      <w:r>
        <w:rPr>
          <w:rFonts w:ascii="Arial" w:cs="Arial" w:eastAsia="Arial" w:hAnsi="Arial"/>
          <w:color w:val="000000"/>
          <w:sz w:val="21"/>
          <w:szCs w:val="21"/>
        </w:rPr>
        <w:t xml:space="preserve">Validated efficacy and safety results for FDA submission of asthma post-approval safety study using independently written SAS code.</w:t>
      </w:r>
    </w:p>
    <w:p>
      <w:pPr>
        <w:spacing w:before="160" w:after="40"/>
      </w:pPr>
      <w:r>
        <w:rPr>
          <w:rFonts w:ascii="Arial" w:cs="Arial" w:eastAsia="Arial" w:hAnsi="Arial"/>
          <w:b/>
          <w:bCs/>
          <w:color w:val="000000"/>
          <w:sz w:val="21"/>
          <w:szCs w:val="21"/>
        </w:rPr>
        <w:t xml:space="preserve">Senior Consulting Biostatistician</w:t>
      </w:r>
      <w:r>
        <w:rPr>
          <w:rFonts w:ascii="Arial" w:cs="Arial" w:eastAsia="Arial" w:hAnsi="Arial"/>
          <w:color w:val="000000"/>
          <w:sz w:val="21"/>
          <w:szCs w:val="21"/>
        </w:rPr>
        <w:t xml:space="preserve"> | </w:t>
      </w:r>
      <w:r>
        <w:rPr>
          <w:rFonts w:ascii="Arial" w:cs="Arial" w:eastAsia="Arial" w:hAnsi="Arial"/>
          <w:color w:val="000000"/>
          <w:sz w:val="21"/>
          <w:szCs w:val="21"/>
        </w:rPr>
        <w:t xml:space="preserve">Sanofi-Aventis Pharmaceuticals, Bridgewater, NJ</w:t>
      </w:r>
      <w:r>
        <w:rPr>
          <w:rFonts w:ascii="Arial" w:cs="Arial" w:eastAsia="Arial" w:hAnsi="Arial"/>
          <w:i/>
          <w:iCs/>
          <w:color w:val="000000"/>
          <w:sz w:val="20"/>
          <w:szCs w:val="20"/>
        </w:rPr>
        <w:t xml:space="preserve">  (September 2003 – January 2006)</w:t>
      </w:r>
    </w:p>
    <w:p>
      <w:pPr>
        <w:pStyle w:val="ListParagraph"/>
        <w:numPr>
          <w:ilvl w:val="0"/>
          <w:numId w:val="4"/>
        </w:numPr>
        <w:spacing w:after="50"/>
      </w:pPr>
      <w:r>
        <w:rPr>
          <w:rFonts w:ascii="Arial" w:cs="Arial" w:eastAsia="Arial" w:hAnsi="Arial"/>
          <w:color w:val="000000"/>
          <w:sz w:val="21"/>
          <w:szCs w:val="21"/>
        </w:rPr>
        <w:t xml:space="preserve">Validated efficacy and safety results for 3 asthma Phase III FDA submissions for Allegra (fexofenadine). Managed approximately 120 Allegra studies. Prepared and validated databases including a Japanese regulatory submission.</w:t>
      </w:r>
    </w:p>
    <w:p>
      <w:pPr>
        <w:pStyle w:val="ListParagraph"/>
        <w:numPr>
          <w:ilvl w:val="0"/>
          <w:numId w:val="4"/>
        </w:numPr>
        <w:spacing w:after="50"/>
      </w:pPr>
      <w:r>
        <w:rPr>
          <w:rFonts w:ascii="Arial" w:cs="Arial" w:eastAsia="Arial" w:hAnsi="Arial"/>
          <w:color w:val="000000"/>
          <w:sz w:val="21"/>
          <w:szCs w:val="21"/>
        </w:rPr>
        <w:t xml:space="preserve">Developed statistical sections for 2 pediatric Phase III studies for Ketek (antibiotic). Supervised CRO projects for quality, validation, and timely delivery.</w:t>
      </w:r>
    </w:p>
    <w:p>
      <w:pPr>
        <w:pStyle w:val="ListParagraph"/>
        <w:numPr>
          <w:ilvl w:val="0"/>
          <w:numId w:val="4"/>
        </w:numPr>
        <w:spacing w:after="50"/>
      </w:pPr>
      <w:r>
        <w:rPr>
          <w:rFonts w:ascii="Arial" w:cs="Arial" w:eastAsia="Arial" w:hAnsi="Arial"/>
          <w:color w:val="000000"/>
          <w:sz w:val="21"/>
          <w:szCs w:val="21"/>
        </w:rPr>
        <w:t xml:space="preserve">Performed robust regression analysis (SAS 9.1) and prepared rebuttal points for publication referees.</w:t>
      </w:r>
    </w:p>
    <w:p>
      <w:pPr>
        <w:spacing w:before="160" w:after="40"/>
      </w:pPr>
      <w:r>
        <w:rPr>
          <w:rFonts w:ascii="Arial" w:cs="Arial" w:eastAsia="Arial" w:hAnsi="Arial"/>
          <w:b/>
          <w:bCs/>
          <w:color w:val="000000"/>
          <w:sz w:val="21"/>
          <w:szCs w:val="21"/>
        </w:rPr>
        <w:t xml:space="preserve">Director/Manager of Biostatistics</w:t>
      </w:r>
      <w:r>
        <w:rPr>
          <w:rFonts w:ascii="Arial" w:cs="Arial" w:eastAsia="Arial" w:hAnsi="Arial"/>
          <w:color w:val="000000"/>
          <w:sz w:val="21"/>
          <w:szCs w:val="21"/>
        </w:rPr>
        <w:t xml:space="preserve"> | </w:t>
      </w:r>
      <w:r>
        <w:rPr>
          <w:rFonts w:ascii="Arial" w:cs="Arial" w:eastAsia="Arial" w:hAnsi="Arial"/>
          <w:color w:val="000000"/>
          <w:sz w:val="21"/>
          <w:szCs w:val="21"/>
        </w:rPr>
        <w:t xml:space="preserve">Connetics Corporation, Palo Alto, CA</w:t>
      </w:r>
      <w:r>
        <w:rPr>
          <w:rFonts w:ascii="Arial" w:cs="Arial" w:eastAsia="Arial" w:hAnsi="Arial"/>
          <w:i/>
          <w:iCs/>
          <w:color w:val="000000"/>
          <w:sz w:val="20"/>
          <w:szCs w:val="20"/>
        </w:rPr>
        <w:t xml:space="preserve">  (January 1998 – May 1999)</w:t>
      </w:r>
    </w:p>
    <w:p>
      <w:pPr>
        <w:spacing w:after="80"/>
      </w:pPr>
      <w:r>
        <w:rPr>
          <w:rFonts w:ascii="Arial" w:cs="Arial" w:eastAsia="Arial" w:hAnsi="Arial"/>
          <w:i/>
          <w:iCs/>
          <w:color w:val="000000"/>
          <w:sz w:val="20"/>
          <w:szCs w:val="20"/>
        </w:rPr>
        <w:t xml:space="preserve">Company focused on dermatology, rheumatoid arthritis, and autoimmune diseases. Two psoriasis products designed by Dr. Gubbi received FDA approval.</w:t>
      </w:r>
    </w:p>
    <w:p>
      <w:pPr>
        <w:pStyle w:val="ListParagraph"/>
        <w:numPr>
          <w:ilvl w:val="0"/>
          <w:numId w:val="5"/>
        </w:numPr>
        <w:spacing w:after="50"/>
      </w:pPr>
      <w:r>
        <w:rPr>
          <w:rFonts w:ascii="Arial" w:cs="Arial" w:eastAsia="Arial" w:hAnsi="Arial"/>
          <w:b/>
          <w:bCs/>
          <w:color w:val="000000"/>
          <w:sz w:val="21"/>
          <w:szCs w:val="21"/>
        </w:rPr>
        <w:t xml:space="preserve">FDA Representation and Negotiation: </w:t>
      </w:r>
      <w:r>
        <w:rPr>
          <w:rFonts w:ascii="Arial" w:cs="Arial" w:eastAsia="Arial" w:hAnsi="Arial"/>
          <w:color w:val="000000"/>
          <w:sz w:val="21"/>
          <w:szCs w:val="21"/>
        </w:rPr>
        <w:t xml:space="preserve">Represented the company at FDA meetings and negotiated on statistical methodology for Phase III trials, sample size/power requirements, and NDA submissions. Responded to FDA reviewer statistical queries on Phase III NDA study. Prepared data per FDA reviewer’s special request.</w:t>
      </w:r>
    </w:p>
    <w:p>
      <w:pPr>
        <w:pStyle w:val="ListParagraph"/>
        <w:numPr>
          <w:ilvl w:val="0"/>
          <w:numId w:val="5"/>
        </w:numPr>
        <w:spacing w:after="50"/>
      </w:pPr>
      <w:r>
        <w:rPr>
          <w:rFonts w:ascii="Arial" w:cs="Arial" w:eastAsia="Arial" w:hAnsi="Arial"/>
          <w:b/>
          <w:bCs/>
          <w:color w:val="000000"/>
          <w:sz w:val="21"/>
          <w:szCs w:val="21"/>
        </w:rPr>
        <w:t xml:space="preserve">Protocol Design: </w:t>
      </w:r>
      <w:r>
        <w:rPr>
          <w:rFonts w:ascii="Arial" w:cs="Arial" w:eastAsia="Arial" w:hAnsi="Arial"/>
          <w:color w:val="000000"/>
          <w:sz w:val="21"/>
          <w:szCs w:val="21"/>
        </w:rPr>
        <w:t xml:space="preserve">Designed statistical sections for Phase III clinical trial including randomization scheme. Designed HPA-axis study and vasoconstrictor study as part of NDA submission package. Supervised all statistical activities from CRF design through database lock.</w:t>
      </w:r>
    </w:p>
    <w:p>
      <w:pPr>
        <w:pStyle w:val="ListParagraph"/>
        <w:numPr>
          <w:ilvl w:val="0"/>
          <w:numId w:val="5"/>
        </w:numPr>
        <w:spacing w:after="50"/>
      </w:pPr>
      <w:r>
        <w:rPr>
          <w:rFonts w:ascii="Arial" w:cs="Arial" w:eastAsia="Arial" w:hAnsi="Arial"/>
          <w:b/>
          <w:bCs/>
          <w:color w:val="000000"/>
          <w:sz w:val="21"/>
          <w:szCs w:val="21"/>
        </w:rPr>
        <w:t xml:space="preserve">Autoimmune Disease Department: </w:t>
      </w:r>
      <w:r>
        <w:rPr>
          <w:rFonts w:ascii="Arial" w:cs="Arial" w:eastAsia="Arial" w:hAnsi="Arial"/>
          <w:color w:val="000000"/>
          <w:sz w:val="21"/>
          <w:szCs w:val="21"/>
        </w:rPr>
        <w:t xml:space="preserve">Performed Phase II efficacy and safety analyses. Designed Phase III trial and Phase II dose-ranging study. Identified alternative study design approaches that saved the company approximately $3.6 million.</w:t>
      </w:r>
    </w:p>
    <w:p>
      <w:pPr>
        <w:pStyle w:val="ListParagraph"/>
        <w:numPr>
          <w:ilvl w:val="0"/>
          <w:numId w:val="5"/>
        </w:numPr>
        <w:spacing w:after="50"/>
      </w:pPr>
      <w:r>
        <w:rPr>
          <w:rFonts w:ascii="Arial" w:cs="Arial" w:eastAsia="Arial" w:hAnsi="Arial"/>
          <w:b/>
          <w:bCs/>
          <w:color w:val="000000"/>
          <w:sz w:val="21"/>
          <w:szCs w:val="21"/>
        </w:rPr>
        <w:t xml:space="preserve">CRO Oversight: </w:t>
      </w:r>
      <w:r>
        <w:rPr>
          <w:rFonts w:ascii="Arial" w:cs="Arial" w:eastAsia="Arial" w:hAnsi="Arial"/>
          <w:color w:val="000000"/>
          <w:sz w:val="21"/>
          <w:szCs w:val="21"/>
        </w:rPr>
        <w:t xml:space="preserve">Supervised 4 CRO statisticians daily. Directed CROs in SAS database preparation, analysis execution, and results validation.</w:t>
      </w:r>
    </w:p>
    <w:p>
      <w:pPr>
        <w:pStyle w:val="ListParagraph"/>
        <w:numPr>
          <w:ilvl w:val="0"/>
          <w:numId w:val="5"/>
        </w:numPr>
        <w:spacing w:after="50"/>
      </w:pPr>
      <w:r>
        <w:rPr>
          <w:rFonts w:ascii="Arial" w:cs="Arial" w:eastAsia="Arial" w:hAnsi="Arial"/>
          <w:color w:val="000000"/>
          <w:sz w:val="21"/>
          <w:szCs w:val="21"/>
        </w:rPr>
        <w:t xml:space="preserve">Developed a novel ‘Intermediate Summary Database Tables’ system for FDA reviewers, reducing review timelines by an estimated 4 weeks—based on firsthand knowledge of FDA review processes.</w:t>
      </w:r>
    </w:p>
    <w:p>
      <w:pPr>
        <w:spacing w:before="160" w:after="40"/>
      </w:pPr>
      <w:r>
        <w:rPr>
          <w:rFonts w:ascii="Arial" w:cs="Arial" w:eastAsia="Arial" w:hAnsi="Arial"/>
          <w:b/>
          <w:bCs/>
          <w:color w:val="000000"/>
          <w:sz w:val="21"/>
          <w:szCs w:val="21"/>
        </w:rPr>
        <w:t xml:space="preserve">Senior Biostatistical Consultant</w:t>
      </w:r>
      <w:r>
        <w:rPr>
          <w:rFonts w:ascii="Arial" w:cs="Arial" w:eastAsia="Arial" w:hAnsi="Arial"/>
          <w:color w:val="000000"/>
          <w:sz w:val="21"/>
          <w:szCs w:val="21"/>
        </w:rPr>
        <w:t xml:space="preserve"> | </w:t>
      </w:r>
      <w:r>
        <w:rPr>
          <w:rFonts w:ascii="Arial" w:cs="Arial" w:eastAsia="Arial" w:hAnsi="Arial"/>
          <w:color w:val="000000"/>
          <w:sz w:val="21"/>
          <w:szCs w:val="21"/>
        </w:rPr>
        <w:t xml:space="preserve">PPD, Wilmington, NC</w:t>
      </w:r>
      <w:r>
        <w:rPr>
          <w:rFonts w:ascii="Arial" w:cs="Arial" w:eastAsia="Arial" w:hAnsi="Arial"/>
          <w:i/>
          <w:iCs/>
          <w:color w:val="000000"/>
          <w:sz w:val="20"/>
          <w:szCs w:val="20"/>
        </w:rPr>
        <w:t xml:space="preserve">  (April 2014 – February 2015)</w:t>
      </w:r>
    </w:p>
    <w:p>
      <w:pPr>
        <w:pStyle w:val="ListParagraph"/>
        <w:numPr>
          <w:ilvl w:val="0"/>
          <w:numId w:val="6"/>
        </w:numPr>
        <w:spacing w:after="50"/>
      </w:pPr>
      <w:r>
        <w:rPr>
          <w:rFonts w:ascii="Arial" w:cs="Arial" w:eastAsia="Arial" w:hAnsi="Arial"/>
          <w:color w:val="000000"/>
          <w:sz w:val="21"/>
          <w:szCs w:val="21"/>
        </w:rPr>
        <w:t xml:space="preserve">Developed and reviewed SAPs for 6 autoimmune disease studies including multiple sclerosis, asthma, COPD, and rheumatoid arthritis. Developed SAPs for 6 oncology studies and 5 antibiotics studies.</w:t>
      </w:r>
    </w:p>
    <w:p>
      <w:pPr>
        <w:pStyle w:val="ListParagraph"/>
        <w:numPr>
          <w:ilvl w:val="0"/>
          <w:numId w:val="6"/>
        </w:numPr>
        <w:spacing w:after="50"/>
      </w:pPr>
      <w:r>
        <w:rPr>
          <w:rFonts w:ascii="Arial" w:cs="Arial" w:eastAsia="Arial" w:hAnsi="Arial"/>
          <w:color w:val="000000"/>
          <w:sz w:val="21"/>
          <w:szCs w:val="21"/>
        </w:rPr>
        <w:t xml:space="preserve">Authored SAP for an Integrated Safety Study spanning 9 indications for a new biochemical entity, including TLF shells and CDISC-compliant ADaM specifications. Served as lead/senior statistical reviewer for 8+ antibiotics studies.</w:t>
      </w:r>
    </w:p>
    <w:p>
      <w:pPr>
        <w:spacing w:before="160" w:after="40"/>
      </w:pPr>
      <w:r>
        <w:rPr>
          <w:rFonts w:ascii="Arial" w:cs="Arial" w:eastAsia="Arial" w:hAnsi="Arial"/>
          <w:b/>
          <w:bCs/>
          <w:color w:val="000000"/>
          <w:sz w:val="21"/>
          <w:szCs w:val="21"/>
        </w:rPr>
        <w:t xml:space="preserve">Professional Consultant</w:t>
      </w:r>
      <w:r>
        <w:rPr>
          <w:rFonts w:ascii="Arial" w:cs="Arial" w:eastAsia="Arial" w:hAnsi="Arial"/>
          <w:color w:val="000000"/>
          <w:sz w:val="21"/>
          <w:szCs w:val="21"/>
        </w:rPr>
        <w:t xml:space="preserve"> | </w:t>
      </w:r>
      <w:r>
        <w:rPr>
          <w:rFonts w:ascii="Arial" w:cs="Arial" w:eastAsia="Arial" w:hAnsi="Arial"/>
          <w:color w:val="000000"/>
          <w:sz w:val="21"/>
          <w:szCs w:val="21"/>
        </w:rPr>
        <w:t xml:space="preserve">Genentech, San Francisco, CA</w:t>
      </w:r>
      <w:r>
        <w:rPr>
          <w:rFonts w:ascii="Arial" w:cs="Arial" w:eastAsia="Arial" w:hAnsi="Arial"/>
          <w:i/>
          <w:iCs/>
          <w:color w:val="000000"/>
          <w:sz w:val="20"/>
          <w:szCs w:val="20"/>
        </w:rPr>
        <w:t xml:space="preserve">  (October 2013 – February 2014)</w:t>
      </w:r>
    </w:p>
    <w:p>
      <w:pPr>
        <w:pStyle w:val="ListParagraph"/>
        <w:numPr>
          <w:ilvl w:val="0"/>
          <w:numId w:val="7"/>
        </w:numPr>
        <w:spacing w:after="50"/>
      </w:pPr>
      <w:r>
        <w:rPr>
          <w:rFonts w:ascii="Arial" w:cs="Arial" w:eastAsia="Arial" w:hAnsi="Arial"/>
          <w:color w:val="000000"/>
          <w:sz w:val="21"/>
          <w:szCs w:val="21"/>
        </w:rPr>
        <w:t xml:space="preserve">Global Medical Affairs: Built predictive efficacy models for a rheumatoid arthritis drug and an ophthalmology drug based on 4-week treatment response data for publication support.</w:t>
      </w:r>
    </w:p>
    <w:p>
      <w:pPr>
        <w:pStyle w:val="ListParagraph"/>
        <w:numPr>
          <w:ilvl w:val="0"/>
          <w:numId w:val="7"/>
        </w:numPr>
        <w:spacing w:after="50"/>
      </w:pPr>
      <w:r>
        <w:rPr>
          <w:rFonts w:ascii="Arial" w:cs="Arial" w:eastAsia="Arial" w:hAnsi="Arial"/>
          <w:color w:val="000000"/>
          <w:sz w:val="21"/>
          <w:szCs w:val="21"/>
        </w:rPr>
        <w:t xml:space="preserve">Reviewed 8 publications and QC’d Advisory Committee reports on 10 studies across both therapeutic areas.</w:t>
      </w:r>
    </w:p>
    <w:p>
      <w:pPr>
        <w:spacing w:before="160" w:after="40"/>
      </w:pPr>
      <w:r>
        <w:rPr>
          <w:rFonts w:ascii="Arial" w:cs="Arial" w:eastAsia="Arial" w:hAnsi="Arial"/>
          <w:b/>
          <w:bCs/>
          <w:color w:val="000000"/>
          <w:sz w:val="21"/>
          <w:szCs w:val="21"/>
        </w:rPr>
        <w:t xml:space="preserve">Senior Biostatistician</w:t>
      </w:r>
      <w:r>
        <w:rPr>
          <w:rFonts w:ascii="Arial" w:cs="Arial" w:eastAsia="Arial" w:hAnsi="Arial"/>
          <w:color w:val="000000"/>
          <w:sz w:val="21"/>
          <w:szCs w:val="21"/>
        </w:rPr>
        <w:t xml:space="preserve"> | </w:t>
      </w:r>
      <w:r>
        <w:rPr>
          <w:rFonts w:ascii="Arial" w:cs="Arial" w:eastAsia="Arial" w:hAnsi="Arial"/>
          <w:color w:val="000000"/>
          <w:sz w:val="21"/>
          <w:szCs w:val="21"/>
        </w:rPr>
        <w:t xml:space="preserve">Cytel Inc. (FSP to Biogen), Waltham, MA</w:t>
      </w:r>
      <w:r>
        <w:rPr>
          <w:rFonts w:ascii="Arial" w:cs="Arial" w:eastAsia="Arial" w:hAnsi="Arial"/>
          <w:i/>
          <w:iCs/>
          <w:color w:val="000000"/>
          <w:sz w:val="20"/>
          <w:szCs w:val="20"/>
        </w:rPr>
        <w:t xml:space="preserve">  (July 2015 – July 2016)</w:t>
      </w:r>
    </w:p>
    <w:p>
      <w:pPr>
        <w:pStyle w:val="ListParagraph"/>
        <w:numPr>
          <w:ilvl w:val="0"/>
          <w:numId w:val="8"/>
        </w:numPr>
        <w:spacing w:after="50"/>
      </w:pPr>
      <w:r>
        <w:rPr>
          <w:rFonts w:ascii="Arial" w:cs="Arial" w:eastAsia="Arial" w:hAnsi="Arial"/>
          <w:b/>
          <w:bCs/>
          <w:color w:val="000000"/>
          <w:sz w:val="21"/>
          <w:szCs w:val="21"/>
        </w:rPr>
        <w:t xml:space="preserve">Biogen – Spinal Muscular Atrophy (SMA): </w:t>
      </w:r>
      <w:r>
        <w:rPr>
          <w:rFonts w:ascii="Arial" w:cs="Arial" w:eastAsia="Arial" w:hAnsi="Arial"/>
          <w:color w:val="000000"/>
          <w:sz w:val="21"/>
          <w:szCs w:val="21"/>
        </w:rPr>
        <w:t xml:space="preserve">Supervised production of Integrated Safety Report across 4 SMA studies (autoimmune disease in pediatric patients). Wrote CDISC-compliant specifications, independently validated results using SAS, and recommended presentation strategies accepted by the project lead.</w:t>
      </w:r>
    </w:p>
    <w:p>
      <w:pPr>
        <w:pStyle w:val="ListParagraph"/>
        <w:numPr>
          <w:ilvl w:val="0"/>
          <w:numId w:val="8"/>
        </w:numPr>
        <w:spacing w:after="50"/>
      </w:pPr>
      <w:r>
        <w:rPr>
          <w:rFonts w:ascii="Arial" w:cs="Arial" w:eastAsia="Arial" w:hAnsi="Arial"/>
          <w:b/>
          <w:bCs/>
          <w:color w:val="000000"/>
          <w:sz w:val="21"/>
          <w:szCs w:val="21"/>
        </w:rPr>
        <w:t xml:space="preserve">Biogen – Multiple Sclerosis Phase III: </w:t>
      </w:r>
      <w:r>
        <w:rPr>
          <w:rFonts w:ascii="Arial" w:cs="Arial" w:eastAsia="Arial" w:hAnsi="Arial"/>
          <w:color w:val="000000"/>
          <w:sz w:val="21"/>
          <w:szCs w:val="21"/>
        </w:rPr>
        <w:t xml:space="preserve">Led safety report production, supervised output tables, and independently validated results.</w:t>
      </w:r>
    </w:p>
    <w:p>
      <w:pPr>
        <w:pStyle w:val="ListParagraph"/>
        <w:numPr>
          <w:ilvl w:val="0"/>
          <w:numId w:val="8"/>
        </w:numPr>
        <w:spacing w:after="50"/>
      </w:pPr>
      <w:r>
        <w:rPr>
          <w:rFonts w:ascii="Arial" w:cs="Arial" w:eastAsia="Arial" w:hAnsi="Arial"/>
          <w:b/>
          <w:bCs/>
          <w:color w:val="000000"/>
          <w:sz w:val="21"/>
          <w:szCs w:val="21"/>
        </w:rPr>
        <w:t xml:space="preserve">Clinical Trial Simulation: </w:t>
      </w:r>
      <w:r>
        <w:rPr>
          <w:rFonts w:ascii="Arial" w:cs="Arial" w:eastAsia="Arial" w:hAnsi="Arial"/>
          <w:color w:val="000000"/>
          <w:sz w:val="21"/>
          <w:szCs w:val="21"/>
        </w:rPr>
        <w:t xml:space="preserve">Simulated a complete Phase III cardiovascular trial for Daiichi Pharma. Delivered a 50-minute seminar to Cytel leadership, receiving commendation from Chairman Cyrus Mehta, PhD and Director Rajagopalan Srinivasan, PhD.</w:t>
      </w:r>
    </w:p>
    <w:p>
      <w:pPr>
        <w:spacing w:before="160" w:after="40"/>
      </w:pPr>
      <w:r>
        <w:rPr>
          <w:rFonts w:ascii="Arial" w:cs="Arial" w:eastAsia="Arial" w:hAnsi="Arial"/>
          <w:b/>
          <w:bCs/>
          <w:color w:val="000000"/>
          <w:sz w:val="21"/>
          <w:szCs w:val="21"/>
        </w:rPr>
        <w:t xml:space="preserve">Senior Biostatistics Project Lead (GMAO)</w:t>
      </w:r>
      <w:r>
        <w:rPr>
          <w:rFonts w:ascii="Arial" w:cs="Arial" w:eastAsia="Arial" w:hAnsi="Arial"/>
          <w:color w:val="000000"/>
          <w:sz w:val="21"/>
          <w:szCs w:val="21"/>
        </w:rPr>
        <w:t xml:space="preserve"> | </w:t>
      </w:r>
      <w:r>
        <w:rPr>
          <w:rFonts w:ascii="Arial" w:cs="Arial" w:eastAsia="Arial" w:hAnsi="Arial"/>
          <w:color w:val="000000"/>
          <w:sz w:val="21"/>
          <w:szCs w:val="21"/>
        </w:rPr>
        <w:t xml:space="preserve">Schering-Plough Pharmaceuticals, Kenilworth, NJ</w:t>
      </w:r>
      <w:r>
        <w:rPr>
          <w:rFonts w:ascii="Arial" w:cs="Arial" w:eastAsia="Arial" w:hAnsi="Arial"/>
          <w:i/>
          <w:iCs/>
          <w:color w:val="000000"/>
          <w:sz w:val="20"/>
          <w:szCs w:val="20"/>
        </w:rPr>
        <w:t xml:space="preserve">  (June 2006 – October 2007)</w:t>
      </w:r>
    </w:p>
    <w:p>
      <w:pPr>
        <w:pStyle w:val="ListParagraph"/>
        <w:numPr>
          <w:ilvl w:val="0"/>
          <w:numId w:val="9"/>
        </w:numPr>
        <w:spacing w:after="50"/>
      </w:pPr>
      <w:r>
        <w:rPr>
          <w:rFonts w:ascii="Arial" w:cs="Arial" w:eastAsia="Arial" w:hAnsi="Arial"/>
          <w:color w:val="000000"/>
          <w:sz w:val="21"/>
          <w:szCs w:val="21"/>
        </w:rPr>
        <w:t xml:space="preserve">Developed statistical protocol sections for 4 Phase III pivotal studies for Nasonex (allergic rhinitis), comparing company product against active comparators.</w:t>
      </w:r>
    </w:p>
    <w:p>
      <w:pPr>
        <w:pStyle w:val="ListParagraph"/>
        <w:numPr>
          <w:ilvl w:val="0"/>
          <w:numId w:val="9"/>
        </w:numPr>
        <w:spacing w:after="50"/>
      </w:pPr>
      <w:r>
        <w:rPr>
          <w:rFonts w:ascii="Arial" w:cs="Arial" w:eastAsia="Arial" w:hAnsi="Arial"/>
          <w:color w:val="000000"/>
          <w:sz w:val="21"/>
          <w:szCs w:val="21"/>
        </w:rPr>
        <w:t xml:space="preserve">Developed statistical protocol sections for 1 Phase II and 2 Phase III pivotal studies for Integrilin (acute coronary syndrome) for FDA label change submissions. Managed market research studies, investigator-initiated studies, and publication efforts.</w:t>
      </w:r>
    </w:p>
    <w:p>
      <w:pPr>
        <w:spacing w:before="160" w:after="40"/>
      </w:pPr>
      <w:r>
        <w:rPr>
          <w:rFonts w:ascii="Arial" w:cs="Arial" w:eastAsia="Arial" w:hAnsi="Arial"/>
          <w:b/>
          <w:bCs/>
          <w:color w:val="000000"/>
          <w:sz w:val="21"/>
          <w:szCs w:val="21"/>
        </w:rPr>
        <w:t xml:space="preserve">Consulting Statistician</w:t>
      </w:r>
      <w:r>
        <w:rPr>
          <w:rFonts w:ascii="Arial" w:cs="Arial" w:eastAsia="Arial" w:hAnsi="Arial"/>
          <w:color w:val="000000"/>
          <w:sz w:val="21"/>
          <w:szCs w:val="21"/>
        </w:rPr>
        <w:t xml:space="preserve"> | </w:t>
      </w:r>
      <w:r>
        <w:rPr>
          <w:rFonts w:ascii="Arial" w:cs="Arial" w:eastAsia="Arial" w:hAnsi="Arial"/>
          <w:color w:val="000000"/>
          <w:sz w:val="21"/>
          <w:szCs w:val="21"/>
        </w:rPr>
        <w:t xml:space="preserve">Boehringer-Ingelheim, Ridgefield, CT</w:t>
      </w:r>
      <w:r>
        <w:rPr>
          <w:rFonts w:ascii="Arial" w:cs="Arial" w:eastAsia="Arial" w:hAnsi="Arial"/>
          <w:i/>
          <w:iCs/>
          <w:color w:val="000000"/>
          <w:sz w:val="20"/>
          <w:szCs w:val="20"/>
        </w:rPr>
        <w:t xml:space="preserve">  (August 1999 – December 1999)</w:t>
      </w:r>
    </w:p>
    <w:p>
      <w:pPr>
        <w:pStyle w:val="ListParagraph"/>
        <w:numPr>
          <w:ilvl w:val="0"/>
          <w:numId w:val="10"/>
        </w:numPr>
        <w:spacing w:after="50"/>
      </w:pPr>
      <w:r>
        <w:rPr>
          <w:rFonts w:ascii="Arial" w:cs="Arial" w:eastAsia="Arial" w:hAnsi="Arial"/>
          <w:color w:val="000000"/>
          <w:sz w:val="21"/>
          <w:szCs w:val="21"/>
        </w:rPr>
        <w:t xml:space="preserve">Developed statistical strategies for salmeterol (respiratory) studies in preparation for FDA negotiations.</w:t>
      </w:r>
    </w:p>
    <w:p>
      <w:pPr>
        <w:pBdr>
          <w:bottom w:val="single" w:color="000000" w:sz="4" w:space="2"/>
        </w:pBdr>
        <w:spacing w:before="280" w:after="100"/>
      </w:pPr>
      <w:r>
        <w:rPr>
          <w:rFonts w:ascii="Arial" w:cs="Arial" w:eastAsia="Arial" w:hAnsi="Arial"/>
          <w:b/>
          <w:bCs/>
          <w:caps/>
          <w:color w:val="000000"/>
          <w:sz w:val="24"/>
          <w:szCs w:val="24"/>
        </w:rPr>
        <w:t xml:space="preserve">Additional Professional Experience</w:t>
      </w:r>
    </w:p>
    <w:p>
      <w:pPr>
        <w:spacing w:before="160" w:after="40"/>
      </w:pPr>
      <w:r>
        <w:rPr>
          <w:rFonts w:ascii="Arial" w:cs="Arial" w:eastAsia="Arial" w:hAnsi="Arial"/>
          <w:b/>
          <w:bCs/>
          <w:color w:val="000000"/>
          <w:sz w:val="21"/>
          <w:szCs w:val="21"/>
        </w:rPr>
        <w:t xml:space="preserve">Associate Director, Biostatistics</w:t>
      </w:r>
      <w:r>
        <w:rPr>
          <w:rFonts w:ascii="Arial" w:cs="Arial" w:eastAsia="Arial" w:hAnsi="Arial"/>
          <w:color w:val="000000"/>
          <w:sz w:val="21"/>
          <w:szCs w:val="21"/>
        </w:rPr>
        <w:t xml:space="preserve"> | </w:t>
      </w:r>
      <w:r>
        <w:rPr>
          <w:rFonts w:ascii="Arial" w:cs="Arial" w:eastAsia="Arial" w:hAnsi="Arial"/>
          <w:color w:val="000000"/>
          <w:sz w:val="21"/>
          <w:szCs w:val="21"/>
        </w:rPr>
        <w:t xml:space="preserve">CPC Clinical Services, Aurora, CO</w:t>
      </w:r>
      <w:r>
        <w:rPr>
          <w:rFonts w:ascii="Arial" w:cs="Arial" w:eastAsia="Arial" w:hAnsi="Arial"/>
          <w:i/>
          <w:iCs/>
          <w:color w:val="000000"/>
          <w:sz w:val="20"/>
          <w:szCs w:val="20"/>
        </w:rPr>
        <w:t xml:space="preserve">  (January 2022 – November 2022)</w:t>
      </w:r>
    </w:p>
    <w:p>
      <w:pPr>
        <w:pStyle w:val="ListParagraph"/>
        <w:numPr>
          <w:ilvl w:val="0"/>
          <w:numId w:val="11"/>
        </w:numPr>
        <w:spacing w:after="50"/>
      </w:pPr>
      <w:r>
        <w:rPr>
          <w:rFonts w:ascii="Arial" w:cs="Arial" w:eastAsia="Arial" w:hAnsi="Arial"/>
          <w:color w:val="000000"/>
          <w:sz w:val="21"/>
          <w:szCs w:val="21"/>
        </w:rPr>
        <w:t xml:space="preserve">Led team of 4 employees and 4 contractors across 18 concurrent studies. Responsible for FDA submissions, deliverable oversight, mentoring, and project assignment.</w:t>
      </w:r>
    </w:p>
    <w:p>
      <w:pPr>
        <w:pStyle w:val="ListParagraph"/>
        <w:numPr>
          <w:ilvl w:val="0"/>
          <w:numId w:val="11"/>
        </w:numPr>
        <w:spacing w:after="50"/>
      </w:pPr>
      <w:r>
        <w:rPr>
          <w:rFonts w:ascii="Arial" w:cs="Arial" w:eastAsia="Arial" w:hAnsi="Arial"/>
          <w:color w:val="000000"/>
          <w:sz w:val="21"/>
          <w:szCs w:val="21"/>
        </w:rPr>
        <w:t xml:space="preserve">Provided statistical leadership for protocol design, sample size/power estimation, and cross-functional engagement with internal and external thought leaders.</w:t>
      </w:r>
    </w:p>
    <w:p>
      <w:pPr>
        <w:pStyle w:val="ListParagraph"/>
        <w:numPr>
          <w:ilvl w:val="0"/>
          <w:numId w:val="11"/>
        </w:numPr>
        <w:spacing w:after="50"/>
      </w:pPr>
      <w:r>
        <w:rPr>
          <w:rFonts w:ascii="Arial" w:cs="Arial" w:eastAsia="Arial" w:hAnsi="Arial"/>
          <w:color w:val="000000"/>
          <w:sz w:val="21"/>
          <w:szCs w:val="21"/>
        </w:rPr>
        <w:t xml:space="preserve">Published 2 co-authored papers (Sep 2022). Conducted cardiovascular imaging data analysis and diabetes studies.</w:t>
      </w:r>
    </w:p>
    <w:p>
      <w:pPr>
        <w:spacing w:before="160" w:after="40"/>
      </w:pPr>
      <w:r>
        <w:rPr>
          <w:rFonts w:ascii="Arial" w:cs="Arial" w:eastAsia="Arial" w:hAnsi="Arial"/>
          <w:b/>
          <w:bCs/>
          <w:color w:val="000000"/>
          <w:sz w:val="21"/>
          <w:szCs w:val="21"/>
        </w:rPr>
        <w:t xml:space="preserve">Statistical Consultant</w:t>
      </w:r>
      <w:r>
        <w:rPr>
          <w:rFonts w:ascii="Arial" w:cs="Arial" w:eastAsia="Arial" w:hAnsi="Arial"/>
          <w:color w:val="000000"/>
          <w:sz w:val="21"/>
          <w:szCs w:val="21"/>
        </w:rPr>
        <w:t xml:space="preserve"> | </w:t>
      </w:r>
      <w:r>
        <w:rPr>
          <w:rFonts w:ascii="Arial" w:cs="Arial" w:eastAsia="Arial" w:hAnsi="Arial"/>
          <w:color w:val="000000"/>
          <w:sz w:val="21"/>
          <w:szCs w:val="21"/>
        </w:rPr>
        <w:t xml:space="preserve">Pneuma Respiratory Pharma, NC</w:t>
      </w:r>
      <w:r>
        <w:rPr>
          <w:rFonts w:ascii="Arial" w:cs="Arial" w:eastAsia="Arial" w:hAnsi="Arial"/>
          <w:i/>
          <w:iCs/>
          <w:color w:val="000000"/>
          <w:sz w:val="20"/>
          <w:szCs w:val="20"/>
        </w:rPr>
        <w:t xml:space="preserve">  (November 2022 – January 2023)</w:t>
      </w:r>
    </w:p>
    <w:p>
      <w:pPr>
        <w:pStyle w:val="ListParagraph"/>
        <w:numPr>
          <w:ilvl w:val="0"/>
          <w:numId w:val="12"/>
        </w:numPr>
        <w:spacing w:after="50"/>
      </w:pPr>
      <w:r>
        <w:rPr>
          <w:rFonts w:ascii="Arial" w:cs="Arial" w:eastAsia="Arial" w:hAnsi="Arial"/>
          <w:color w:val="000000"/>
          <w:sz w:val="21"/>
          <w:szCs w:val="21"/>
        </w:rPr>
        <w:t xml:space="preserve">Planned and advised on statistical strategy for a European regulatory submission (respiratory).</w:t>
      </w:r>
    </w:p>
    <w:p>
      <w:pPr>
        <w:spacing w:before="160" w:after="40"/>
      </w:pPr>
      <w:r>
        <w:rPr>
          <w:rFonts w:ascii="Arial" w:cs="Arial" w:eastAsia="Arial" w:hAnsi="Arial"/>
          <w:b/>
          <w:bCs/>
          <w:color w:val="000000"/>
          <w:sz w:val="21"/>
          <w:szCs w:val="21"/>
        </w:rPr>
        <w:t xml:space="preserve">Study Lead Statistician</w:t>
      </w:r>
      <w:r>
        <w:rPr>
          <w:rFonts w:ascii="Arial" w:cs="Arial" w:eastAsia="Arial" w:hAnsi="Arial"/>
          <w:color w:val="000000"/>
          <w:sz w:val="21"/>
          <w:szCs w:val="21"/>
        </w:rPr>
        <w:t xml:space="preserve"> | </w:t>
      </w:r>
      <w:r>
        <w:rPr>
          <w:rFonts w:ascii="Arial" w:cs="Arial" w:eastAsia="Arial" w:hAnsi="Arial"/>
          <w:color w:val="000000"/>
          <w:sz w:val="21"/>
          <w:szCs w:val="21"/>
        </w:rPr>
        <w:t xml:space="preserve">Amgen (via Spectraforce), NY</w:t>
      </w:r>
      <w:r>
        <w:rPr>
          <w:rFonts w:ascii="Arial" w:cs="Arial" w:eastAsia="Arial" w:hAnsi="Arial"/>
          <w:i/>
          <w:iCs/>
          <w:color w:val="000000"/>
          <w:sz w:val="20"/>
          <w:szCs w:val="20"/>
        </w:rPr>
        <w:t xml:space="preserve">  (November 2020 – November 2021)</w:t>
      </w:r>
    </w:p>
    <w:p>
      <w:pPr>
        <w:pStyle w:val="ListParagraph"/>
        <w:numPr>
          <w:ilvl w:val="0"/>
          <w:numId w:val="13"/>
        </w:numPr>
        <w:spacing w:after="50"/>
      </w:pPr>
      <w:r>
        <w:rPr>
          <w:rFonts w:ascii="Arial" w:cs="Arial" w:eastAsia="Arial" w:hAnsi="Arial"/>
          <w:color w:val="000000"/>
          <w:sz w:val="21"/>
          <w:szCs w:val="21"/>
        </w:rPr>
        <w:t xml:space="preserve">Supported sotorasib Master Protocol spanning 14 solid tumor studies (oncology). Led statistical work on 2 Phase III NPlate studies for chemotherapy-induced thrombocytopenia (CIT).</w:t>
      </w:r>
    </w:p>
    <w:p>
      <w:pPr>
        <w:pStyle w:val="ListParagraph"/>
        <w:numPr>
          <w:ilvl w:val="0"/>
          <w:numId w:val="13"/>
        </w:numPr>
        <w:spacing w:after="50"/>
      </w:pPr>
      <w:r>
        <w:rPr>
          <w:rFonts w:ascii="Arial" w:cs="Arial" w:eastAsia="Arial" w:hAnsi="Arial"/>
          <w:color w:val="000000"/>
          <w:sz w:val="21"/>
          <w:szCs w:val="21"/>
        </w:rPr>
        <w:t xml:space="preserve">Performed hands-on exploratory competitive analysis of a failed CIT study from a competitor, identifying methodological weaknesses. Authored final reports for both studies.</w:t>
      </w:r>
    </w:p>
    <w:p>
      <w:pPr>
        <w:spacing w:before="160" w:after="40"/>
      </w:pPr>
      <w:r>
        <w:rPr>
          <w:rFonts w:ascii="Arial" w:cs="Arial" w:eastAsia="Arial" w:hAnsi="Arial"/>
          <w:b/>
          <w:bCs/>
          <w:color w:val="000000"/>
          <w:sz w:val="21"/>
          <w:szCs w:val="21"/>
        </w:rPr>
        <w:t xml:space="preserve">Senior Principal Biostatistician</w:t>
      </w:r>
      <w:r>
        <w:rPr>
          <w:rFonts w:ascii="Arial" w:cs="Arial" w:eastAsia="Arial" w:hAnsi="Arial"/>
          <w:color w:val="000000"/>
          <w:sz w:val="21"/>
          <w:szCs w:val="21"/>
        </w:rPr>
        <w:t xml:space="preserve"> | </w:t>
      </w:r>
      <w:r>
        <w:rPr>
          <w:rFonts w:ascii="Arial" w:cs="Arial" w:eastAsia="Arial" w:hAnsi="Arial"/>
          <w:color w:val="000000"/>
          <w:sz w:val="21"/>
          <w:szCs w:val="21"/>
        </w:rPr>
        <w:t xml:space="preserve">Pharm-Olam LLC (via Meet Inc), NY</w:t>
      </w:r>
      <w:r>
        <w:rPr>
          <w:rFonts w:ascii="Arial" w:cs="Arial" w:eastAsia="Arial" w:hAnsi="Arial"/>
          <w:i/>
          <w:iCs/>
          <w:color w:val="000000"/>
          <w:sz w:val="20"/>
          <w:szCs w:val="20"/>
        </w:rPr>
        <w:t xml:space="preserve">  (March 2020 – August 2020)</w:t>
      </w:r>
    </w:p>
    <w:p>
      <w:pPr>
        <w:pStyle w:val="ListParagraph"/>
        <w:numPr>
          <w:ilvl w:val="0"/>
          <w:numId w:val="14"/>
        </w:numPr>
        <w:spacing w:after="50"/>
      </w:pPr>
      <w:r>
        <w:rPr>
          <w:rFonts w:ascii="Arial" w:cs="Arial" w:eastAsia="Arial" w:hAnsi="Arial"/>
          <w:color w:val="000000"/>
          <w:sz w:val="21"/>
          <w:szCs w:val="21"/>
        </w:rPr>
        <w:t xml:space="preserve">Assigned to 3 Phase I/II oncology studies (liver cancer, breast cancer, AML) and 2 Phase III COVID-19 studies. Supervised 2 statisticians (senior and junior).</w:t>
      </w:r>
    </w:p>
    <w:p>
      <w:pPr>
        <w:pStyle w:val="ListParagraph"/>
        <w:numPr>
          <w:ilvl w:val="0"/>
          <w:numId w:val="14"/>
        </w:numPr>
        <w:spacing w:after="50"/>
      </w:pPr>
      <w:r>
        <w:rPr>
          <w:rFonts w:ascii="Arial" w:cs="Arial" w:eastAsia="Arial" w:hAnsi="Arial"/>
          <w:color w:val="000000"/>
          <w:sz w:val="21"/>
          <w:szCs w:val="21"/>
        </w:rPr>
        <w:t xml:space="preserve">Designed SAP and TLF shells for Aveo liver cancer study (approved by sponsor). Wrote statistical sections and sample size estimates for FDA synopsis. Designed statistical sections for Hanmi’s COVID study protocol.</w:t>
      </w:r>
    </w:p>
    <w:p>
      <w:pPr>
        <w:spacing w:before="160" w:after="40"/>
      </w:pPr>
      <w:r>
        <w:rPr>
          <w:rFonts w:ascii="Arial" w:cs="Arial" w:eastAsia="Arial" w:hAnsi="Arial"/>
          <w:b/>
          <w:bCs/>
          <w:color w:val="000000"/>
          <w:sz w:val="21"/>
          <w:szCs w:val="21"/>
        </w:rPr>
        <w:t xml:space="preserve">Lead Biostatistical Consultant</w:t>
      </w:r>
      <w:r>
        <w:rPr>
          <w:rFonts w:ascii="Arial" w:cs="Arial" w:eastAsia="Arial" w:hAnsi="Arial"/>
          <w:color w:val="000000"/>
          <w:sz w:val="21"/>
          <w:szCs w:val="21"/>
        </w:rPr>
        <w:t xml:space="preserve"> | </w:t>
      </w:r>
      <w:r>
        <w:rPr>
          <w:rFonts w:ascii="Arial" w:cs="Arial" w:eastAsia="Arial" w:hAnsi="Arial"/>
          <w:color w:val="000000"/>
          <w:sz w:val="21"/>
          <w:szCs w:val="21"/>
        </w:rPr>
        <w:t xml:space="preserve">Repare Therapeutics (via Treximo Inc)</w:t>
      </w:r>
      <w:r>
        <w:rPr>
          <w:rFonts w:ascii="Arial" w:cs="Arial" w:eastAsia="Arial" w:hAnsi="Arial"/>
          <w:i/>
          <w:iCs/>
          <w:color w:val="000000"/>
          <w:sz w:val="20"/>
          <w:szCs w:val="20"/>
        </w:rPr>
        <w:t xml:space="preserve">  (December 2019 – April 2020)</w:t>
      </w:r>
    </w:p>
    <w:p>
      <w:pPr>
        <w:pStyle w:val="ListParagraph"/>
        <w:numPr>
          <w:ilvl w:val="0"/>
          <w:numId w:val="15"/>
        </w:numPr>
        <w:spacing w:after="50"/>
      </w:pPr>
      <w:r>
        <w:rPr>
          <w:rFonts w:ascii="Arial" w:cs="Arial" w:eastAsia="Arial" w:hAnsi="Arial"/>
          <w:color w:val="000000"/>
          <w:sz w:val="21"/>
          <w:szCs w:val="21"/>
        </w:rPr>
        <w:t xml:space="preserve">Phase IIa oncology trial using Bayesian Optimal Interval (BOIN) design with a basket approach for advanced multiple solid tumors. Part-time engagement.</w:t>
      </w:r>
    </w:p>
    <w:p>
      <w:pPr>
        <w:spacing w:before="160" w:after="40"/>
      </w:pPr>
      <w:r>
        <w:rPr>
          <w:rFonts w:ascii="Arial" w:cs="Arial" w:eastAsia="Arial" w:hAnsi="Arial"/>
          <w:b/>
          <w:bCs/>
          <w:color w:val="000000"/>
          <w:sz w:val="21"/>
          <w:szCs w:val="21"/>
        </w:rPr>
        <w:t xml:space="preserve">Principal Biostatistician</w:t>
      </w:r>
      <w:r>
        <w:rPr>
          <w:rFonts w:ascii="Arial" w:cs="Arial" w:eastAsia="Arial" w:hAnsi="Arial"/>
          <w:color w:val="000000"/>
          <w:sz w:val="21"/>
          <w:szCs w:val="21"/>
        </w:rPr>
        <w:t xml:space="preserve"> | </w:t>
      </w:r>
      <w:r>
        <w:rPr>
          <w:rFonts w:ascii="Arial" w:cs="Arial" w:eastAsia="Arial" w:hAnsi="Arial"/>
          <w:color w:val="000000"/>
          <w:sz w:val="21"/>
          <w:szCs w:val="21"/>
        </w:rPr>
        <w:t xml:space="preserve">PRA Health Sciences (FSP to Kite Pharmaceuticals)</w:t>
      </w:r>
      <w:r>
        <w:rPr>
          <w:rFonts w:ascii="Arial" w:cs="Arial" w:eastAsia="Arial" w:hAnsi="Arial"/>
          <w:i/>
          <w:iCs/>
          <w:color w:val="000000"/>
          <w:sz w:val="20"/>
          <w:szCs w:val="20"/>
        </w:rPr>
        <w:t xml:space="preserve">  (November 2016 – November 2017)</w:t>
      </w:r>
    </w:p>
    <w:p>
      <w:pPr>
        <w:pStyle w:val="ListParagraph"/>
        <w:numPr>
          <w:ilvl w:val="0"/>
          <w:numId w:val="16"/>
        </w:numPr>
        <w:spacing w:after="50"/>
      </w:pPr>
      <w:r>
        <w:rPr>
          <w:rFonts w:ascii="Arial" w:cs="Arial" w:eastAsia="Arial" w:hAnsi="Arial"/>
          <w:color w:val="000000"/>
          <w:sz w:val="21"/>
          <w:szCs w:val="21"/>
        </w:rPr>
        <w:t xml:space="preserve">Study statistician for Zuma-1 (Anti-CD19 CAR-T, refractory DLBCL Phase I/II), Topanga-1 (CAR-T, refractory multiple myeloma), and Integrated Safety Report for Zuma 1–4 (submitted to FDA).</w:t>
      </w:r>
    </w:p>
    <w:p>
      <w:pPr>
        <w:pStyle w:val="ListParagraph"/>
        <w:numPr>
          <w:ilvl w:val="0"/>
          <w:numId w:val="16"/>
        </w:numPr>
        <w:spacing w:after="50"/>
      </w:pPr>
      <w:r>
        <w:rPr>
          <w:rFonts w:ascii="Arial" w:cs="Arial" w:eastAsia="Arial" w:hAnsi="Arial"/>
          <w:color w:val="000000"/>
          <w:sz w:val="21"/>
          <w:szCs w:val="21"/>
        </w:rPr>
        <w:t xml:space="preserve">Developed SAP and TLF shells for Zuma-6 and KITE-585 (new biochemical entity for multiple myeloma). Created algorithms for DLT, CRS, and neurotoxic AE coding. Validated SRT and 120-Day Reports using independent SAS code.</w:t>
      </w:r>
    </w:p>
    <w:p>
      <w:pPr>
        <w:pStyle w:val="ListParagraph"/>
        <w:numPr>
          <w:ilvl w:val="0"/>
          <w:numId w:val="16"/>
        </w:numPr>
        <w:spacing w:after="50"/>
      </w:pPr>
      <w:r>
        <w:rPr>
          <w:rFonts w:ascii="Arial" w:cs="Arial" w:eastAsia="Arial" w:hAnsi="Arial"/>
          <w:color w:val="000000"/>
          <w:sz w:val="21"/>
          <w:szCs w:val="21"/>
        </w:rPr>
        <w:t xml:space="preserve">Bristol-Myers Squibb Liver Fibrosis Project: Performed adaptive design sample size estimation using EAST 6.4 (Chen-DeMets-Lan approach). Applied Multiple Arm Multiple Stage (MAMS) method for seamless Phase II/III design.</w:t>
      </w:r>
    </w:p>
    <w:p>
      <w:pPr>
        <w:spacing w:before="160" w:after="40"/>
      </w:pPr>
      <w:r>
        <w:rPr>
          <w:rFonts w:ascii="Arial" w:cs="Arial" w:eastAsia="Arial" w:hAnsi="Arial"/>
          <w:b/>
          <w:bCs/>
          <w:color w:val="000000"/>
          <w:sz w:val="21"/>
          <w:szCs w:val="21"/>
        </w:rPr>
        <w:t xml:space="preserve">Biostatistical Consultant</w:t>
      </w:r>
      <w:r>
        <w:rPr>
          <w:rFonts w:ascii="Arial" w:cs="Arial" w:eastAsia="Arial" w:hAnsi="Arial"/>
          <w:color w:val="000000"/>
          <w:sz w:val="21"/>
          <w:szCs w:val="21"/>
        </w:rPr>
        <w:t xml:space="preserve"> | </w:t>
      </w:r>
      <w:r>
        <w:rPr>
          <w:rFonts w:ascii="Arial" w:cs="Arial" w:eastAsia="Arial" w:hAnsi="Arial"/>
          <w:color w:val="000000"/>
          <w:sz w:val="21"/>
          <w:szCs w:val="21"/>
        </w:rPr>
        <w:t xml:space="preserve">Dainippon-Sumitomo Pharma, Fort Lee, NJ</w:t>
      </w:r>
      <w:r>
        <w:rPr>
          <w:rFonts w:ascii="Arial" w:cs="Arial" w:eastAsia="Arial" w:hAnsi="Arial"/>
          <w:i/>
          <w:iCs/>
          <w:color w:val="000000"/>
          <w:sz w:val="20"/>
          <w:szCs w:val="20"/>
        </w:rPr>
        <w:t xml:space="preserve">  (January 2008 – October 2008)</w:t>
      </w:r>
    </w:p>
    <w:p>
      <w:pPr>
        <w:pStyle w:val="ListParagraph"/>
        <w:numPr>
          <w:ilvl w:val="0"/>
          <w:numId w:val="17"/>
        </w:numPr>
        <w:spacing w:after="50"/>
      </w:pPr>
      <w:r>
        <w:rPr>
          <w:rFonts w:ascii="Arial" w:cs="Arial" w:eastAsia="Arial" w:hAnsi="Arial"/>
          <w:color w:val="000000"/>
          <w:sz w:val="21"/>
          <w:szCs w:val="21"/>
        </w:rPr>
        <w:t xml:space="preserve">Managed 16+ statistical projects across CNS, neurology, respiratory, diabetes, and urinary system infection (Phases I–III). Wrote SAPs and protocol statistical sections, performed sample size simulations using tree gatekeeping methods.</w:t>
      </w:r>
    </w:p>
    <w:p>
      <w:pPr>
        <w:pStyle w:val="ListParagraph"/>
        <w:numPr>
          <w:ilvl w:val="0"/>
          <w:numId w:val="17"/>
        </w:numPr>
        <w:spacing w:after="50"/>
      </w:pPr>
      <w:r>
        <w:rPr>
          <w:rFonts w:ascii="Arial" w:cs="Arial" w:eastAsia="Arial" w:hAnsi="Arial"/>
          <w:color w:val="000000"/>
          <w:sz w:val="21"/>
          <w:szCs w:val="21"/>
        </w:rPr>
        <w:t xml:space="preserve">Supervised CRO biostatistics teams, performed QA on outsourced deliverables, and served as statistical liaison between sponsor and external vendors. Advised company officials on FDA and ICH guideline interpretation.</w:t>
      </w:r>
    </w:p>
    <w:p>
      <w:pPr>
        <w:spacing w:before="200" w:after="60"/>
      </w:pPr>
      <w:r>
        <w:rPr>
          <w:rFonts w:ascii="Arial" w:cs="Arial" w:eastAsia="Arial" w:hAnsi="Arial"/>
          <w:b/>
          <w:bCs/>
          <w:color w:val="000000"/>
          <w:sz w:val="22"/>
          <w:szCs w:val="22"/>
        </w:rPr>
        <w:t xml:space="preserve">Prior Experience (1999 – 2003)</w:t>
      </w:r>
    </w:p>
    <w:p>
      <w:pPr>
        <w:pStyle w:val="ListParagraph"/>
        <w:numPr>
          <w:ilvl w:val="0"/>
          <w:numId w:val="18"/>
        </w:numPr>
        <w:spacing w:after="50"/>
      </w:pPr>
      <w:r>
        <w:rPr>
          <w:rFonts w:ascii="Arial" w:cs="Arial" w:eastAsia="Arial" w:hAnsi="Arial"/>
          <w:color w:val="000000"/>
          <w:sz w:val="21"/>
          <w:szCs w:val="21"/>
        </w:rPr>
        <w:t xml:space="preserve">Bracco Diagnostics, Princeton, NJ (Nov 2002 – May 2003): Senior Consulting Biostatistician. Led statistical functions for FDA submissions of imaging contrast agents. Supervised CRO projects and validated results.</w:t>
      </w:r>
    </w:p>
    <w:p>
      <w:pPr>
        <w:pStyle w:val="ListParagraph"/>
        <w:numPr>
          <w:ilvl w:val="0"/>
          <w:numId w:val="18"/>
        </w:numPr>
        <w:spacing w:after="50"/>
      </w:pPr>
      <w:r>
        <w:rPr>
          <w:rFonts w:ascii="Arial" w:cs="Arial" w:eastAsia="Arial" w:hAnsi="Arial"/>
          <w:color w:val="000000"/>
          <w:sz w:val="21"/>
          <w:szCs w:val="21"/>
        </w:rPr>
        <w:t xml:space="preserve">Pharmacia-Upjohn, Peapack, NJ (Jan 2002 – Dec 2002): Senior Biostatistics Consulting Scientist. Led eplerenone (antihypertensive) publication efforts and Phase IIIb subgroup analyses.</w:t>
      </w:r>
    </w:p>
    <w:p>
      <w:pPr>
        <w:pStyle w:val="ListParagraph"/>
        <w:numPr>
          <w:ilvl w:val="0"/>
          <w:numId w:val="18"/>
        </w:numPr>
        <w:spacing w:after="50"/>
      </w:pPr>
      <w:r>
        <w:rPr>
          <w:rFonts w:ascii="Arial" w:cs="Arial" w:eastAsia="Arial" w:hAnsi="Arial"/>
          <w:color w:val="000000"/>
          <w:sz w:val="21"/>
          <w:szCs w:val="21"/>
        </w:rPr>
        <w:t xml:space="preserve">Pfizer, Groton, CT (May 2001 – Dec 2001): Consulting Statistician. QT interval analysis for osteoporosis drug; inhaled insulin data analysis.</w:t>
      </w:r>
    </w:p>
    <w:p>
      <w:pPr>
        <w:pStyle w:val="ListParagraph"/>
        <w:numPr>
          <w:ilvl w:val="0"/>
          <w:numId w:val="18"/>
        </w:numPr>
        <w:spacing w:after="50"/>
      </w:pPr>
      <w:r>
        <w:rPr>
          <w:rFonts w:ascii="Arial" w:cs="Arial" w:eastAsia="Arial" w:hAnsi="Arial"/>
          <w:color w:val="000000"/>
          <w:sz w:val="21"/>
          <w:szCs w:val="21"/>
        </w:rPr>
        <w:t xml:space="preserve">Abbott Laboratories, Columbus, OH (Mar 2000 – May 2001): Senior Consulting Statistician. Efficacy analysis of infant formulas. Co-authored publication.</w:t>
      </w:r>
    </w:p>
    <w:p>
      <w:pPr>
        <w:pStyle w:val="ListParagraph"/>
        <w:numPr>
          <w:ilvl w:val="0"/>
          <w:numId w:val="18"/>
        </w:numPr>
        <w:spacing w:after="50"/>
      </w:pPr>
      <w:r>
        <w:rPr>
          <w:rFonts w:ascii="Arial" w:cs="Arial" w:eastAsia="Arial" w:hAnsi="Arial"/>
          <w:color w:val="000000"/>
          <w:sz w:val="21"/>
          <w:szCs w:val="21"/>
        </w:rPr>
        <w:t xml:space="preserve">Dermpharma Inc, West Linna, OR (Mar 1999 – Aug 1999): Contract Statistician. Vasoconstriction data analysis for new chemical entity (dermatology).</w:t>
      </w:r>
    </w:p>
    <w:p>
      <w:pPr>
        <w:spacing w:before="200" w:after="60"/>
      </w:pPr>
      <w:r>
        <w:rPr>
          <w:rFonts w:ascii="Arial" w:cs="Arial" w:eastAsia="Arial" w:hAnsi="Arial"/>
          <w:b/>
          <w:bCs/>
          <w:color w:val="000000"/>
          <w:sz w:val="22"/>
          <w:szCs w:val="22"/>
        </w:rPr>
        <w:t xml:space="preserve">Earlier CRO &amp; Consulting Roles (2009 – 2013)</w:t>
      </w:r>
    </w:p>
    <w:p>
      <w:pPr>
        <w:pStyle w:val="ListParagraph"/>
        <w:numPr>
          <w:ilvl w:val="0"/>
          <w:numId w:val="19"/>
        </w:numPr>
        <w:spacing w:after="50"/>
      </w:pPr>
      <w:r>
        <w:rPr>
          <w:rFonts w:ascii="Arial" w:cs="Arial" w:eastAsia="Arial" w:hAnsi="Arial"/>
          <w:color w:val="000000"/>
          <w:sz w:val="21"/>
          <w:szCs w:val="21"/>
        </w:rPr>
        <w:t xml:space="preserve">Research Pharmaceutical Services (now PRA), Fort Washington, PA (Nov 2009 – Sep 2010): Senior Biostatistician. SAP development for Phase I/II breast cancer, Phase II ophthalmology, and Phase III nicotine cessation studies. Independently validated trial results using SAS prior to CSR entry.</w:t>
      </w:r>
    </w:p>
    <w:p>
      <w:pPr>
        <w:pStyle w:val="ListParagraph"/>
        <w:numPr>
          <w:ilvl w:val="0"/>
          <w:numId w:val="19"/>
        </w:numPr>
        <w:spacing w:after="50"/>
      </w:pPr>
      <w:r>
        <w:rPr>
          <w:rFonts w:ascii="Arial" w:cs="Arial" w:eastAsia="Arial" w:hAnsi="Arial"/>
          <w:color w:val="000000"/>
          <w:sz w:val="21"/>
          <w:szCs w:val="21"/>
        </w:rPr>
        <w:t xml:space="preserve">MaxisIT Service Provider, Metuchen, NJ (Feb 2009 – Sep 2009): Senior Biostatistician. Led all biostatistics projects. Provided statistical input for adaptive designs and clinical trial simulation. Supervised programmers and statisticians.</w:t>
      </w:r>
    </w:p>
    <w:p>
      <w:pPr>
        <w:pStyle w:val="ListParagraph"/>
        <w:numPr>
          <w:ilvl w:val="0"/>
          <w:numId w:val="19"/>
        </w:numPr>
        <w:spacing w:after="50"/>
      </w:pPr>
      <w:r>
        <w:rPr>
          <w:rFonts w:ascii="Arial" w:cs="Arial" w:eastAsia="Arial" w:hAnsi="Arial"/>
          <w:color w:val="000000"/>
          <w:sz w:val="21"/>
          <w:szCs w:val="21"/>
        </w:rPr>
        <w:t xml:space="preserve">Slippery Rock University, PA (Oct 2010 – Oct 2013): Independent Consultant. Advised on statistical design and analysis for faculty/student research.</w:t>
      </w:r>
    </w:p>
    <w:p>
      <w:pPr>
        <w:pBdr>
          <w:bottom w:val="single" w:color="000000" w:sz="4" w:space="2"/>
        </w:pBdr>
        <w:spacing w:before="280" w:after="100"/>
      </w:pPr>
      <w:r>
        <w:rPr>
          <w:rFonts w:ascii="Arial" w:cs="Arial" w:eastAsia="Arial" w:hAnsi="Arial"/>
          <w:b/>
          <w:bCs/>
          <w:caps/>
          <w:color w:val="000000"/>
          <w:sz w:val="24"/>
          <w:szCs w:val="24"/>
        </w:rPr>
        <w:t xml:space="preserve">Education</w:t>
      </w:r>
    </w:p>
    <w:p>
      <w:pPr>
        <w:spacing w:after="80"/>
      </w:pPr>
      <w:r>
        <w:rPr>
          <w:rFonts w:ascii="Arial" w:cs="Arial" w:eastAsia="Arial" w:hAnsi="Arial"/>
          <w:b/>
          <w:bCs/>
          <w:color w:val="000000"/>
          <w:sz w:val="21"/>
          <w:szCs w:val="21"/>
        </w:rPr>
        <w:t xml:space="preserve">Ph.D., Mathematical Sciences</w:t>
      </w:r>
      <w:r>
        <w:rPr>
          <w:rFonts w:ascii="Arial" w:cs="Arial" w:eastAsia="Arial" w:hAnsi="Arial"/>
          <w:color w:val="000000"/>
          <w:sz w:val="21"/>
          <w:szCs w:val="21"/>
        </w:rPr>
        <w:t xml:space="preserve"> – University of Memphis, Memphis, TN</w:t>
      </w:r>
    </w:p>
    <w:p>
      <w:pPr>
        <w:spacing w:after="80"/>
      </w:pPr>
      <w:r>
        <w:rPr>
          <w:rFonts w:ascii="Arial" w:cs="Arial" w:eastAsia="Arial" w:hAnsi="Arial"/>
          <w:b/>
          <w:bCs/>
          <w:color w:val="000000"/>
          <w:sz w:val="21"/>
          <w:szCs w:val="21"/>
        </w:rPr>
        <w:t xml:space="preserve">M.A., Mathematics</w:t>
      </w:r>
      <w:r>
        <w:rPr>
          <w:rFonts w:ascii="Arial" w:cs="Arial" w:eastAsia="Arial" w:hAnsi="Arial"/>
          <w:color w:val="000000"/>
          <w:sz w:val="21"/>
          <w:szCs w:val="21"/>
        </w:rPr>
        <w:t xml:space="preserve"> – State University of New York, Buffalo, NY</w:t>
      </w:r>
    </w:p>
    <w:p>
      <w:pPr>
        <w:pBdr>
          <w:bottom w:val="single" w:color="000000" w:sz="4" w:space="2"/>
        </w:pBdr>
        <w:spacing w:before="280" w:after="100"/>
      </w:pPr>
      <w:r>
        <w:rPr>
          <w:rFonts w:ascii="Arial" w:cs="Arial" w:eastAsia="Arial" w:hAnsi="Arial"/>
          <w:b/>
          <w:bCs/>
          <w:caps/>
          <w:color w:val="000000"/>
          <w:sz w:val="24"/>
          <w:szCs w:val="24"/>
        </w:rPr>
        <w:t xml:space="preserve">Technical Skills</w:t>
      </w:r>
    </w:p>
    <w:p>
      <w:pPr>
        <w:spacing w:after="80"/>
      </w:pPr>
      <w:r>
        <w:rPr>
          <w:rFonts w:ascii="Arial" w:cs="Arial" w:eastAsia="Arial" w:hAnsi="Arial"/>
          <w:b/>
          <w:bCs/>
          <w:color w:val="000000"/>
          <w:sz w:val="21"/>
          <w:szCs w:val="21"/>
        </w:rPr>
        <w:t xml:space="preserve">Statistical Software: </w:t>
      </w:r>
      <w:r>
        <w:rPr>
          <w:rFonts w:ascii="Arial" w:cs="Arial" w:eastAsia="Arial" w:hAnsi="Arial"/>
          <w:color w:val="000000"/>
          <w:sz w:val="21"/>
          <w:szCs w:val="21"/>
        </w:rPr>
        <w:t xml:space="preserve">SAS 9.1–9.4 (advanced programming, Proc Mixed, Proc GEE, Proc MIAnalyze, SAS/Macro, SAS/Ph-Clinical), EAST 6.4, StatXact 11, SPSS, SAS/JMP, NCSS, Statistica, Minitab, Sigmaplot, S+, CANDAS</w:t>
      </w:r>
    </w:p>
    <w:p>
      <w:pPr>
        <w:spacing w:after="80"/>
      </w:pPr>
      <w:r>
        <w:rPr>
          <w:rFonts w:ascii="Arial" w:cs="Arial" w:eastAsia="Arial" w:hAnsi="Arial"/>
          <w:b/>
          <w:bCs/>
          <w:color w:val="000000"/>
          <w:sz w:val="21"/>
          <w:szCs w:val="21"/>
        </w:rPr>
        <w:t xml:space="preserve">Regulatory Tools: </w:t>
      </w:r>
      <w:r>
        <w:rPr>
          <w:rFonts w:ascii="Arial" w:cs="Arial" w:eastAsia="Arial" w:hAnsi="Arial"/>
          <w:color w:val="000000"/>
          <w:sz w:val="21"/>
          <w:szCs w:val="21"/>
        </w:rPr>
        <w:t xml:space="preserve">FDA in-house carcinogenic analysis software (SAS-based), CANDAS (Computer-Aided NDA Submission)</w:t>
      </w:r>
    </w:p>
    <w:p>
      <w:pPr>
        <w:spacing w:after="80"/>
      </w:pPr>
      <w:r>
        <w:rPr>
          <w:rFonts w:ascii="Arial" w:cs="Arial" w:eastAsia="Arial" w:hAnsi="Arial"/>
          <w:b/>
          <w:bCs/>
          <w:color w:val="000000"/>
          <w:sz w:val="21"/>
          <w:szCs w:val="21"/>
        </w:rPr>
        <w:t xml:space="preserve">Languages: </w:t>
      </w:r>
      <w:r>
        <w:rPr>
          <w:rFonts w:ascii="Arial" w:cs="Arial" w:eastAsia="Arial" w:hAnsi="Arial"/>
          <w:color w:val="000000"/>
          <w:sz w:val="21"/>
          <w:szCs w:val="21"/>
        </w:rPr>
        <w:t xml:space="preserve">English, Kannada, Hindi, Tamil, Marathi; spoken German</w:t>
      </w:r>
    </w:p>
    <w:p>
      <w:pPr>
        <w:pBdr>
          <w:bottom w:val="single" w:color="000000" w:sz="4" w:space="2"/>
        </w:pBdr>
        <w:spacing w:before="280" w:after="100"/>
      </w:pPr>
      <w:r>
        <w:rPr>
          <w:rFonts w:ascii="Arial" w:cs="Arial" w:eastAsia="Arial" w:hAnsi="Arial"/>
          <w:b/>
          <w:bCs/>
          <w:caps/>
          <w:color w:val="000000"/>
          <w:sz w:val="24"/>
          <w:szCs w:val="24"/>
        </w:rPr>
        <w:t xml:space="preserve">Selected Publications</w:t>
      </w:r>
    </w:p>
    <w:p>
      <w:pPr>
        <w:spacing w:after="80"/>
      </w:pPr>
      <w:r>
        <w:rPr>
          <w:rFonts w:ascii="Arial" w:cs="Arial" w:eastAsia="Arial" w:hAnsi="Arial"/>
          <w:b/>
          <w:bCs/>
          <w:color w:val="000000"/>
          <w:sz w:val="20"/>
          <w:szCs w:val="20"/>
        </w:rPr>
        <w:t xml:space="preserve">I&amp;I / Respiratory:</w:t>
      </w:r>
    </w:p>
    <w:p>
      <w:pPr>
        <w:pStyle w:val="ListParagraph"/>
        <w:numPr>
          <w:ilvl w:val="0"/>
          <w:numId w:val="20"/>
        </w:numPr>
        <w:spacing w:after="50"/>
      </w:pPr>
      <w:r>
        <w:rPr>
          <w:rFonts w:ascii="Arial" w:cs="Arial" w:eastAsia="Arial" w:hAnsi="Arial"/>
          <w:color w:val="000000"/>
          <w:sz w:val="21"/>
          <w:szCs w:val="21"/>
        </w:rPr>
        <w:t xml:space="preserve">Corren J, Du E, Gubbi A, Vanlandingham R. "Variability in Blood Eosinophil Counts in Patients with Eosinophilic Asthma Receiving Placebo." Presented at AAAAI Conference, San Francisco, February 2019.</w:t>
      </w:r>
    </w:p>
    <w:p>
      <w:pPr>
        <w:pStyle w:val="ListParagraph"/>
        <w:numPr>
          <w:ilvl w:val="0"/>
          <w:numId w:val="20"/>
        </w:numPr>
        <w:spacing w:after="50"/>
      </w:pPr>
      <w:r>
        <w:rPr>
          <w:rFonts w:ascii="Arial" w:cs="Arial" w:eastAsia="Arial" w:hAnsi="Arial"/>
          <w:color w:val="000000"/>
          <w:sz w:val="21"/>
          <w:szCs w:val="21"/>
        </w:rPr>
        <w:t xml:space="preserve">Vanlandingham R, Gubbi A, Corren J. "Variability in absolute blood eosinophil (EOS) counts over 52 weeks in patients with inadequately controlled eosinophilic asthma receiving placebo in two duplicate clinical trials." JACI In Practice (2020).</w:t>
      </w:r>
    </w:p>
    <w:p>
      <w:pPr>
        <w:spacing w:after="80"/>
      </w:pPr>
      <w:r>
        <w:rPr>
          <w:rFonts w:ascii="Arial" w:cs="Arial" w:eastAsia="Arial" w:hAnsi="Arial"/>
          <w:b/>
          <w:bCs/>
          <w:color w:val="000000"/>
          <w:sz w:val="20"/>
          <w:szCs w:val="20"/>
        </w:rPr>
        <w:t xml:space="preserve">CNS / Neuroimmunology:</w:t>
      </w:r>
    </w:p>
    <w:p>
      <w:pPr>
        <w:pStyle w:val="ListParagraph"/>
        <w:numPr>
          <w:ilvl w:val="0"/>
          <w:numId w:val="21"/>
        </w:numPr>
        <w:spacing w:after="50"/>
      </w:pPr>
      <w:r>
        <w:rPr>
          <w:rFonts w:ascii="Arial" w:cs="Arial" w:eastAsia="Arial" w:hAnsi="Arial"/>
          <w:color w:val="000000"/>
          <w:sz w:val="21"/>
          <w:szCs w:val="21"/>
        </w:rPr>
        <w:t xml:space="preserve">Arango V, Underwood MD, Gubbi AV, Mann JJ. "Localized alterations in pre- and postsynaptic serotonin binding sites in the ventrolateral prefrontal cortex of suicide victims." Brain Res. 1995;688(1–2):121–33.</w:t>
      </w:r>
    </w:p>
    <w:p>
      <w:pPr>
        <w:pStyle w:val="ListParagraph"/>
        <w:numPr>
          <w:ilvl w:val="0"/>
          <w:numId w:val="21"/>
        </w:numPr>
        <w:spacing w:after="50"/>
      </w:pPr>
      <w:r>
        <w:rPr>
          <w:rFonts w:ascii="Arial" w:cs="Arial" w:eastAsia="Arial" w:hAnsi="Arial"/>
          <w:color w:val="000000"/>
          <w:sz w:val="21"/>
          <w:szCs w:val="21"/>
        </w:rPr>
        <w:t xml:space="preserve">Yang ZW, Chengappa KN, Shurin G, Brar JS, Rabin BS, Gubbi AV, Ganguli R. "An association between anti-hippocampal antibody concentration and lymphocyte production of IL-2 in patients with schizophrenia." Psychological Medicine. 1994;24(2):449–55.</w:t>
      </w:r>
    </w:p>
    <w:p>
      <w:pPr>
        <w:pStyle w:val="ListParagraph"/>
        <w:numPr>
          <w:ilvl w:val="0"/>
          <w:numId w:val="21"/>
        </w:numPr>
        <w:spacing w:after="50"/>
      </w:pPr>
      <w:r>
        <w:rPr>
          <w:rFonts w:ascii="Arial" w:cs="Arial" w:eastAsia="Arial" w:hAnsi="Arial"/>
          <w:color w:val="000000"/>
          <w:sz w:val="21"/>
          <w:szCs w:val="21"/>
        </w:rPr>
        <w:t xml:space="preserve">Ganguli R, Yang Z, Shurin G, Chengappa KN, Brar JS, Gubbi AV, Rabin BS. "Serum interleukin-6 concentration in schizophrenia: elevation associated with duration of illness." Psychiatry Research. 1994;51(1):1–10.</w:t>
      </w:r>
    </w:p>
    <w:p>
      <w:pPr>
        <w:pStyle w:val="ListParagraph"/>
        <w:numPr>
          <w:ilvl w:val="0"/>
          <w:numId w:val="21"/>
        </w:numPr>
        <w:spacing w:after="50"/>
      </w:pPr>
      <w:r>
        <w:rPr>
          <w:rFonts w:ascii="Arial" w:cs="Arial" w:eastAsia="Arial" w:hAnsi="Arial"/>
          <w:color w:val="000000"/>
          <w:sz w:val="21"/>
          <w:szCs w:val="21"/>
        </w:rPr>
        <w:t xml:space="preserve">Gubbi AV. Chapter XIII: "Multivariate Statistical Methods in Biological Psychiatric Research." In: Quantitative Methods in Psychiatric Research. Tata-McGraw Hill, 1995.</w:t>
      </w:r>
    </w:p>
    <w:p>
      <w:pPr>
        <w:spacing w:after="80"/>
      </w:pPr>
      <w:r>
        <w:rPr>
          <w:rFonts w:ascii="Arial" w:cs="Arial" w:eastAsia="Arial" w:hAnsi="Arial"/>
          <w:i/>
          <w:iCs/>
          <w:color w:val="000000"/>
          <w:sz w:val="20"/>
          <w:szCs w:val="20"/>
        </w:rPr>
        <w:t xml:space="preserve">Additional: </w:t>
      </w:r>
      <w:r>
        <w:rPr>
          <w:rFonts w:ascii="Arial" w:cs="Arial" w:eastAsia="Arial" w:hAnsi="Arial"/>
          <w:color w:val="000000"/>
          <w:sz w:val="20"/>
          <w:szCs w:val="20"/>
        </w:rPr>
        <w:t xml:space="preserve">28 total peer-reviewed publications across therapeutic areas including CNS, immunology, pulmonary, oncology, diabetes, and computer science. 12 refereed CNS papers from University of Pittsburgh affiliation.</w:t>
      </w:r>
    </w:p>
    <w:p>
      <w:pPr>
        <w:pBdr>
          <w:bottom w:val="single" w:color="000000" w:sz="4" w:space="2"/>
        </w:pBdr>
        <w:spacing w:before="280" w:after="100"/>
      </w:pPr>
      <w:r>
        <w:rPr>
          <w:rFonts w:ascii="Arial" w:cs="Arial" w:eastAsia="Arial" w:hAnsi="Arial"/>
          <w:b/>
          <w:bCs/>
          <w:caps/>
          <w:color w:val="000000"/>
          <w:sz w:val="24"/>
          <w:szCs w:val="24"/>
        </w:rPr>
        <w:t xml:space="preserve">Academic Positions</w:t>
      </w:r>
    </w:p>
    <w:p>
      <w:pPr>
        <w:spacing w:after="80"/>
      </w:pPr>
      <w:r>
        <w:rPr>
          <w:rFonts w:ascii="Arial" w:cs="Arial" w:eastAsia="Arial" w:hAnsi="Arial"/>
          <w:b/>
          <w:bCs/>
          <w:color w:val="000000"/>
          <w:sz w:val="21"/>
          <w:szCs w:val="21"/>
        </w:rPr>
        <w:t xml:space="preserve">Biostatistician</w:t>
      </w:r>
      <w:r>
        <w:rPr>
          <w:rFonts w:ascii="Arial" w:cs="Arial" w:eastAsia="Arial" w:hAnsi="Arial"/>
          <w:color w:val="000000"/>
          <w:sz w:val="21"/>
          <w:szCs w:val="21"/>
        </w:rPr>
        <w:t xml:space="preserve"> – Schizophrenia Training &amp; Research Center, Western Psychiatric Institute, University of Pittsburgh (Feb 1993 – Jan 1994). Statistical analysis and reporting; contributed to 12 refereed publications.</w:t>
      </w:r>
    </w:p>
    <w:p>
      <w:pPr>
        <w:spacing w:after="80"/>
      </w:pPr>
      <w:r>
        <w:rPr>
          <w:rFonts w:ascii="Arial" w:cs="Arial" w:eastAsia="Arial" w:hAnsi="Arial"/>
          <w:b/>
          <w:bCs/>
          <w:color w:val="000000"/>
          <w:sz w:val="21"/>
          <w:szCs w:val="21"/>
        </w:rPr>
        <w:t xml:space="preserve">Lecturer, Mathematics &amp; Statistics</w:t>
      </w:r>
      <w:r>
        <w:rPr>
          <w:rFonts w:ascii="Arial" w:cs="Arial" w:eastAsia="Arial" w:hAnsi="Arial"/>
          <w:color w:val="000000"/>
          <w:sz w:val="21"/>
          <w:szCs w:val="21"/>
        </w:rPr>
        <w:t xml:space="preserve"> – University of Pittsburgh (Jan 1993 – Dec 1995). Concurrent position.</w:t>
      </w: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3"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4"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5"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6"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7"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8"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9"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10"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11"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12"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13"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14"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15"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16"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17"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18"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19"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20"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21"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22"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23"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24"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25"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26"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27"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28"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29"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30"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abstractNum w:abstractNumId="31" w15:restartNumberingAfterBreak="0">
    <w:multiLevelType w:val="hybridMultilevel"/>
    <w:lvl w:ilvl="0" w15:tentative="1">
      <w:start w:val="1"/>
      <w:numFmt w:val="bullet"/>
      <w:lvlText w:val="•"/>
      <w:lvlJc w:val="left"/>
      <w:pPr>
        <w:ind w:left="360" w:hanging="220"/>
      </w:pPr>
      <w:rPr>
        <w:rFonts w:ascii="Arial" w:cs="Arial" w:eastAsia="Arial" w:hAnsi="Arial"/>
        <w:sz w:val="21"/>
        <w:szCs w:val="21"/>
      </w:rPr>
    </w:lvl>
    <w:lvl w:ilvl="1" w15:tentative="1">
      <w:start w:val="1"/>
      <w:numFmt w:val="bullet"/>
      <w:lvlText w:val="–"/>
      <w:lvlJc w:val="left"/>
      <w:pPr>
        <w:ind w:left="720" w:hanging="22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2026-03-06T22:36:09.305Z</dcterms:created>
  <dcterms:modified xsi:type="dcterms:W3CDTF">2026-03-06T22:36:09.306Z</dcterms:modified>
</cp:coreProperties>
</file>

<file path=docProps/custom.xml><?xml version="1.0" encoding="utf-8"?>
<Properties xmlns="http://schemas.openxmlformats.org/officeDocument/2006/custom-properties" xmlns:vt="http://schemas.openxmlformats.org/officeDocument/2006/docPropsVTypes"/>
</file>