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00000"/>
          <w:sz w:val="52"/>
          <w:szCs w:val="52"/>
        </w:rPr>
        <w:t xml:space="preserve">Zequn Tang, MD, PhD</w:t>
      </w:r>
    </w:p>
    <w:p>
      <w:pPr>
        <w:spacing w:before="0" w:after="160"/>
      </w:pPr>
      <w:r>
        <w:rPr>
          <w:rFonts w:ascii="Arial" w:cs="Arial" w:eastAsia="Arial" w:hAnsi="Arial"/>
          <w:color w:val="000000"/>
          <w:sz w:val="20"/>
          <w:szCs w:val="20"/>
        </w:rPr>
        <w:t xml:space="preserve">zequntang@hotmail.com  |  925-786-5561</w:t>
      </w:r>
    </w:p>
    <w:p>
      <w:pPr>
        <w:pBdr>
          <w:bottom w:val="single" w:color="000000" w:sz="8" w:space="1"/>
        </w:pBdr>
        <w:spacing w:before="0" w:after="0"/>
      </w:pPr>
      <w:r>
        <w:t xml:space="preserve"/>
      </w:r>
    </w:p>
    <w:p>
      <w:pPr>
        <w:spacing w:before="200" w:after="0"/>
      </w:pPr>
      <w:r>
        <w:t xml:space="preserve"/>
      </w:r>
    </w:p>
    <w:p>
      <w:pPr>
        <w:spacing w:before="0" w:after="60"/>
      </w:pPr>
      <w:r>
        <w:rPr>
          <w:rFonts w:ascii="Arial" w:cs="Arial" w:eastAsia="Arial" w:hAnsi="Arial"/>
          <w:b/>
          <w:bCs/>
          <w:color w:val="000000"/>
          <w:spacing w:val="40"/>
          <w:sz w:val="22"/>
          <w:szCs w:val="22"/>
        </w:rPr>
        <w:t xml:space="preserve">EXECUTIVE SUMMARY</w:t>
      </w:r>
    </w:p>
    <w:p>
      <w:pPr>
        <w:pBdr>
          <w:bottom w:val="single" w:color="000000" w:sz="4" w:space="1"/>
        </w:pBdr>
        <w:spacing w:before="0" w:after="0"/>
      </w:pPr>
      <w:r>
        <w:t xml:space="preserve"/>
      </w:r>
    </w:p>
    <w:p>
      <w:pPr>
        <w:spacing w:before="60" w:after="0"/>
      </w:pPr>
      <w:r>
        <w:t xml:space="preserve"/>
      </w:r>
    </w:p>
    <w:p>
      <w:pPr>
        <w:spacing w:before="60" w:after="60"/>
      </w:pPr>
      <w:r>
        <w:rPr>
          <w:rFonts w:ascii="Arial" w:cs="Arial" w:eastAsia="Arial" w:hAnsi="Arial"/>
          <w:color w:val="333333"/>
          <w:sz w:val="20"/>
          <w:szCs w:val="20"/>
        </w:rPr>
        <w:t xml:space="preserve">Physician-scientist (MD, PhD) with 12+ years of oncology and hematology clinical development experience spanning relapsed/refractory multiple myeloma, gynecologic oncology (ovarian, endometrial-adjacent), and solid tumors including NSCLC. Expert in clinical trial design, medical monitoring, IND/CTA regulatory submissions, and cross-functional Phase I–III development team leadership. Proven track record authoring Study Protocols, Investigator's Brochures, Clinical Development Plans, and Clinical Study Reports across diverse targeted modalities — CD3 bispecifics, BCMA-directed therapies, ADCs, checkpoint inhibitors, and probodies. Deep pharmacovigilance foundation (DSUR, PBRER, SUSAR, IDMC interface) combined with physician-level scientific judgment for safety signal assessment and patient risk management.</w:t>
      </w:r>
    </w:p>
    <w:p>
      <w:pPr>
        <w:spacing w:before="200" w:after="0"/>
      </w:pPr>
      <w:r>
        <w:t xml:space="preserve"/>
      </w:r>
    </w:p>
    <w:p>
      <w:pPr>
        <w:spacing w:before="0" w:after="60"/>
      </w:pPr>
      <w:r>
        <w:rPr>
          <w:rFonts w:ascii="Arial" w:cs="Arial" w:eastAsia="Arial" w:hAnsi="Arial"/>
          <w:b/>
          <w:bCs/>
          <w:color w:val="000000"/>
          <w:spacing w:val="40"/>
          <w:sz w:val="22"/>
          <w:szCs w:val="22"/>
        </w:rPr>
        <w:t xml:space="preserve">CORE COMPETENCIES</w:t>
      </w:r>
    </w:p>
    <w:p>
      <w:pPr>
        <w:pBdr>
          <w:bottom w:val="single" w:color="000000" w:sz="4" w:space="1"/>
        </w:pBdr>
        <w:spacing w:before="0" w:after="0"/>
      </w:pPr>
      <w:r>
        <w:t xml:space="preserve"/>
      </w:r>
    </w:p>
    <w:p>
      <w:pPr>
        <w:spacing w:before="60" w:after="0"/>
      </w:pPr>
      <w:r>
        <w:t xml:space="preserve"/>
      </w:r>
    </w:p>
    <w:p>
      <w:pPr>
        <w:spacing w:before="40" w:after="40"/>
      </w:pPr>
      <w:r>
        <w:rPr>
          <w:rFonts w:ascii="Arial" w:cs="Arial" w:eastAsia="Arial" w:hAnsi="Arial"/>
          <w:b/>
          <w:bCs/>
          <w:color w:val="000000"/>
          <w:sz w:val="20"/>
          <w:szCs w:val="20"/>
        </w:rPr>
        <w:t xml:space="preserve">Disease Areas: </w:t>
      </w:r>
      <w:r>
        <w:rPr>
          <w:rFonts w:ascii="Arial" w:cs="Arial" w:eastAsia="Arial" w:hAnsi="Arial"/>
          <w:color w:val="333333"/>
          <w:sz w:val="20"/>
          <w:szCs w:val="20"/>
        </w:rPr>
        <w:t xml:space="preserve">Hematologic Malignancies (Multiple Myeloma, RRMM) | Gynecologic Oncology (Ovarian, Endometrial-Adjacent) | Solid Tumors (NSCLC, CRC-adjacent) | Immunology &amp; Autoimmune</w:t>
      </w:r>
    </w:p>
    <w:p>
      <w:pPr>
        <w:spacing w:before="40" w:after="40"/>
      </w:pPr>
      <w:r>
        <w:rPr>
          <w:rFonts w:ascii="Arial" w:cs="Arial" w:eastAsia="Arial" w:hAnsi="Arial"/>
          <w:b/>
          <w:bCs/>
          <w:color w:val="000000"/>
          <w:sz w:val="20"/>
          <w:szCs w:val="20"/>
        </w:rPr>
        <w:t xml:space="preserve">Therapeutic Modalities: </w:t>
      </w:r>
      <w:r>
        <w:rPr>
          <w:rFonts w:ascii="Arial" w:cs="Arial" w:eastAsia="Arial" w:hAnsi="Arial"/>
          <w:color w:val="333333"/>
          <w:sz w:val="20"/>
          <w:szCs w:val="20"/>
        </w:rPr>
        <w:t xml:space="preserve">BCMA-directed CD3 bispecifics | ADCs | Checkpoint Inhibitors (PD-1/PD-L1, CTLA-4) | Bispecific Antibodies (ENPP3/CD3, PD1/CTLA4) | Probodies | Companion Diagnostics</w:t>
      </w:r>
    </w:p>
    <w:p>
      <w:pPr>
        <w:spacing w:before="40" w:after="40"/>
      </w:pPr>
      <w:r>
        <w:rPr>
          <w:rFonts w:ascii="Arial" w:cs="Arial" w:eastAsia="Arial" w:hAnsi="Arial"/>
          <w:b/>
          <w:bCs/>
          <w:color w:val="000000"/>
          <w:sz w:val="20"/>
          <w:szCs w:val="20"/>
        </w:rPr>
        <w:t xml:space="preserve">Clinical Development: </w:t>
      </w:r>
      <w:r>
        <w:rPr>
          <w:rFonts w:ascii="Arial" w:cs="Arial" w:eastAsia="Arial" w:hAnsi="Arial"/>
          <w:color w:val="333333"/>
          <w:sz w:val="20"/>
          <w:szCs w:val="20"/>
        </w:rPr>
        <w:t xml:space="preserve">Medical Monitoring | Protocol &amp; IB Authorship | IND/CTA Submissions (FDA, EMA, CDE) | Phase I–III Trial Design | Dose Escalation Oversight | CSR &amp; Publication Authorship</w:t>
      </w:r>
    </w:p>
    <w:p>
      <w:pPr>
        <w:spacing w:before="40" w:after="40"/>
      </w:pPr>
      <w:r>
        <w:rPr>
          <w:rFonts w:ascii="Arial" w:cs="Arial" w:eastAsia="Arial" w:hAnsi="Arial"/>
          <w:b/>
          <w:bCs/>
          <w:color w:val="000000"/>
          <w:sz w:val="20"/>
          <w:szCs w:val="20"/>
        </w:rPr>
        <w:t xml:space="preserve">Safety &amp; Regulatory: </w:t>
      </w:r>
      <w:r>
        <w:rPr>
          <w:rFonts w:ascii="Arial" w:cs="Arial" w:eastAsia="Arial" w:hAnsi="Arial"/>
          <w:color w:val="333333"/>
          <w:sz w:val="20"/>
          <w:szCs w:val="20"/>
        </w:rPr>
        <w:t xml:space="preserve">Global Safety Lead | DSUR / PBRER / SUSAR | IDMC Interactions | Risk Management Plans | SAE Adjudication | Pharmacovigilance Standards | GCP Compliance</w:t>
      </w:r>
    </w:p>
    <w:p>
      <w:pPr>
        <w:spacing w:before="40" w:after="40"/>
      </w:pPr>
      <w:r>
        <w:rPr>
          <w:rFonts w:ascii="Arial" w:cs="Arial" w:eastAsia="Arial" w:hAnsi="Arial"/>
          <w:b/>
          <w:bCs/>
          <w:color w:val="000000"/>
          <w:sz w:val="20"/>
          <w:szCs w:val="20"/>
        </w:rPr>
        <w:t xml:space="preserve">Cross-Functional Leadership: </w:t>
      </w:r>
      <w:r>
        <w:rPr>
          <w:rFonts w:ascii="Arial" w:cs="Arial" w:eastAsia="Arial" w:hAnsi="Arial"/>
          <w:color w:val="333333"/>
          <w:sz w:val="20"/>
          <w:szCs w:val="20"/>
        </w:rPr>
        <w:t xml:space="preserve">Clinical Strategy Teams | KOL &amp; Thought Leader Engagement | CRO Management | Regulatory Affairs Interface | CDM &amp; Biostatistics Collaboration</w:t>
      </w:r>
    </w:p>
    <w:p>
      <w:pPr>
        <w:spacing w:before="200" w:after="0"/>
      </w:pPr>
      <w:r>
        <w:t xml:space="preserve"/>
      </w:r>
    </w:p>
    <w:p>
      <w:pPr>
        <w:spacing w:before="0" w:after="60"/>
      </w:pPr>
      <w:r>
        <w:rPr>
          <w:rFonts w:ascii="Arial" w:cs="Arial" w:eastAsia="Arial" w:hAnsi="Arial"/>
          <w:b/>
          <w:bCs/>
          <w:color w:val="000000"/>
          <w:spacing w:val="40"/>
          <w:sz w:val="22"/>
          <w:szCs w:val="22"/>
        </w:rPr>
        <w:t xml:space="preserve">SELECTED CAREER HIGHLIGHTS</w:t>
      </w:r>
    </w:p>
    <w:p>
      <w:pPr>
        <w:pBdr>
          <w:bottom w:val="single" w:color="000000" w:sz="4" w:space="1"/>
        </w:pBdr>
        <w:spacing w:before="0" w:after="0"/>
      </w:pPr>
      <w:r>
        <w:t xml:space="preserve"/>
      </w:r>
    </w:p>
    <w:p>
      <w:pPr>
        <w:spacing w:before="60" w:after="0"/>
      </w:pPr>
      <w:r>
        <w:t xml:space="preserve"/>
      </w:r>
    </w:p>
    <w:p>
      <w:pPr>
        <w:pStyle w:val="ListParagraph"/>
        <w:numPr>
          <w:ilvl w:val="0"/>
          <w:numId w:val="2"/>
        </w:numPr>
        <w:spacing w:before="50" w:after="50"/>
      </w:pPr>
      <w:r>
        <w:rPr>
          <w:rFonts w:ascii="Arial" w:cs="Arial" w:eastAsia="Arial" w:hAnsi="Arial"/>
          <w:color w:val="333333"/>
          <w:sz w:val="20"/>
          <w:szCs w:val="20"/>
        </w:rPr>
        <w:t xml:space="preserve">Active Medical Monitor for BCMA-directed CD3 bispecific antibody trial in relapsed/refractory multiple myeloma (RRMM) at AbbVie — current, 2023–present</w:t>
      </w:r>
    </w:p>
    <w:p>
      <w:pPr>
        <w:pStyle w:val="ListParagraph"/>
        <w:numPr>
          <w:ilvl w:val="0"/>
          <w:numId w:val="2"/>
        </w:numPr>
        <w:spacing w:before="50" w:after="50"/>
      </w:pPr>
      <w:r>
        <w:rPr>
          <w:rFonts w:ascii="Arial" w:cs="Arial" w:eastAsia="Arial" w:hAnsi="Arial"/>
          <w:color w:val="333333"/>
          <w:sz w:val="20"/>
          <w:szCs w:val="20"/>
        </w:rPr>
        <w:t xml:space="preserve">Co-author, veliparib + chemotherapy Phase III ovarian cancer study — final OS results published European Journal of Cancer (2025)</w:t>
      </w:r>
    </w:p>
    <w:p>
      <w:pPr>
        <w:pStyle w:val="ListParagraph"/>
        <w:numPr>
          <w:ilvl w:val="0"/>
          <w:numId w:val="2"/>
        </w:numPr>
        <w:spacing w:before="50" w:after="50"/>
      </w:pPr>
      <w:r>
        <w:rPr>
          <w:rFonts w:ascii="Arial" w:cs="Arial" w:eastAsia="Arial" w:hAnsi="Arial"/>
          <w:color w:val="333333"/>
          <w:sz w:val="20"/>
          <w:szCs w:val="20"/>
        </w:rPr>
        <w:t xml:space="preserve">Named inventor on U.S. provisional patent: Dosing of a Bispecific Antibody that Binds ENPP3 and CD3 (Application No. 63/351,660)</w:t>
      </w:r>
    </w:p>
    <w:p>
      <w:pPr>
        <w:pStyle w:val="ListParagraph"/>
        <w:numPr>
          <w:ilvl w:val="0"/>
          <w:numId w:val="2"/>
        </w:numPr>
        <w:spacing w:before="50" w:after="50"/>
      </w:pPr>
      <w:r>
        <w:rPr>
          <w:rFonts w:ascii="Arial" w:cs="Arial" w:eastAsia="Arial" w:hAnsi="Arial"/>
          <w:color w:val="333333"/>
          <w:sz w:val="20"/>
          <w:szCs w:val="20"/>
        </w:rPr>
        <w:t xml:space="preserve">IND/CTA submissions to FDA, EMA, and CDE (China) across 5+ oncology programs spanning FIH through Phase III</w:t>
      </w:r>
    </w:p>
    <w:p>
      <w:pPr>
        <w:pStyle w:val="ListParagraph"/>
        <w:numPr>
          <w:ilvl w:val="0"/>
          <w:numId w:val="2"/>
        </w:numPr>
        <w:spacing w:before="50" w:after="50"/>
      </w:pPr>
      <w:r>
        <w:rPr>
          <w:rFonts w:ascii="Arial" w:cs="Arial" w:eastAsia="Arial" w:hAnsi="Arial"/>
          <w:color w:val="333333"/>
          <w:sz w:val="20"/>
          <w:szCs w:val="20"/>
        </w:rPr>
        <w:t xml:space="preserve">SMT Safety Lead at Genentech across Phase I–III oncology portfolio including gynecologic oncology, hematologic malignancies, and solid tumors</w:t>
      </w:r>
    </w:p>
    <w:p>
      <w:pPr>
        <w:pStyle w:val="ListParagraph"/>
        <w:numPr>
          <w:ilvl w:val="0"/>
          <w:numId w:val="2"/>
        </w:numPr>
        <w:spacing w:before="50" w:after="50"/>
      </w:pPr>
      <w:r>
        <w:rPr>
          <w:rFonts w:ascii="Arial" w:cs="Arial" w:eastAsia="Arial" w:hAnsi="Arial"/>
          <w:color w:val="333333"/>
          <w:sz w:val="20"/>
          <w:szCs w:val="20"/>
        </w:rPr>
        <w:t xml:space="preserve">Senior Medical Director experience at two oncology-focused biotechs (Bolt Biotherapeutics, Xencor) with full protocol-to-IND ownership</w:t>
      </w:r>
    </w:p>
    <w:p>
      <w:pPr>
        <w:spacing w:before="200" w:after="0"/>
      </w:pPr>
      <w:r>
        <w:t xml:space="preserve"/>
      </w:r>
    </w:p>
    <w:p>
      <w:pPr>
        <w:spacing w:before="0" w:after="60"/>
      </w:pPr>
      <w:r>
        <w:rPr>
          <w:rFonts w:ascii="Arial" w:cs="Arial" w:eastAsia="Arial" w:hAnsi="Arial"/>
          <w:b/>
          <w:bCs/>
          <w:color w:val="000000"/>
          <w:spacing w:val="40"/>
          <w:sz w:val="22"/>
          <w:szCs w:val="22"/>
        </w:rPr>
        <w:t xml:space="preserve">PROFESSIONAL EXPERIENCE</w:t>
      </w:r>
    </w:p>
    <w:p>
      <w:pPr>
        <w:pBdr>
          <w:bottom w:val="single" w:color="000000" w:sz="4" w:space="1"/>
        </w:pBdr>
        <w:spacing w:before="0" w:after="0"/>
      </w:pPr>
      <w:r>
        <w:t xml:space="preserve"/>
      </w:r>
    </w:p>
    <w:p>
      <w:pPr>
        <w:spacing w:before="140" w:after="0"/>
      </w:pPr>
      <w:r>
        <w:t xml:space="preserve"/>
      </w:r>
    </w:p>
    <w:p>
      <w:pPr>
        <w:spacing w:before="0" w:after="20"/>
      </w:pPr>
      <w:r>
        <w:rPr>
          <w:rFonts w:ascii="Arial" w:cs="Arial" w:eastAsia="Arial" w:hAnsi="Arial"/>
          <w:b/>
          <w:bCs/>
          <w:color w:val="000000"/>
          <w:sz w:val="22"/>
          <w:szCs w:val="22"/>
        </w:rPr>
        <w:t xml:space="preserve">Medical Director / Contractor</w:t>
      </w:r>
      <w:r>
        <w:rPr>
          <w:rFonts w:ascii="Arial" w:cs="Arial" w:eastAsia="Arial" w:hAnsi="Arial"/>
          <w:color w:val="000000"/>
          <w:sz w:val="22"/>
          <w:szCs w:val="22"/>
        </w:rPr>
        <w:t xml:space="preserve">  —  AbbVie Oncology</w:t>
      </w:r>
    </w:p>
    <w:p>
      <w:pPr>
        <w:spacing w:before="0" w:after="60"/>
      </w:pPr>
      <w:r>
        <w:rPr>
          <w:rFonts w:ascii="Arial" w:cs="Arial" w:eastAsia="Arial" w:hAnsi="Arial"/>
          <w:i/>
          <w:iCs/>
          <w:color w:val="000000"/>
          <w:sz w:val="19"/>
          <w:szCs w:val="19"/>
        </w:rPr>
        <w:t xml:space="preserve">September 2023 – Present</w:t>
      </w:r>
    </w:p>
    <w:p>
      <w:pPr>
        <w:pStyle w:val="ListParagraph"/>
        <w:numPr>
          <w:ilvl w:val="0"/>
          <w:numId w:val="3"/>
        </w:numPr>
        <w:spacing w:before="40" w:after="40"/>
      </w:pPr>
      <w:r>
        <w:rPr>
          <w:rFonts w:ascii="Arial" w:cs="Arial" w:eastAsia="Arial" w:hAnsi="Arial"/>
          <w:color w:val="333333"/>
          <w:sz w:val="20"/>
          <w:szCs w:val="20"/>
        </w:rPr>
        <w:t xml:space="preserve">Serve as primary Medical Monitor for a BCMA-directed CD3 bispecific antibody trial in relapsed/refractory multiple myeloma (RRMM), overseeing patient eligibility assessments, dose escalation and de-escalation decisions, serious adverse event adjudication, and safety narrative documentation in alignment with the IDMC charter. Maintain real-time oversight of enrollment integrity, protocol deviations, and pharmacovigilance reporting obligations. Engage directly with investigator sites and CRO medical staff to ensure GCP compliance and patient safety throughout the study.</w:t>
      </w:r>
    </w:p>
    <w:p>
      <w:pPr>
        <w:pStyle w:val="ListParagraph"/>
        <w:numPr>
          <w:ilvl w:val="0"/>
          <w:numId w:val="3"/>
        </w:numPr>
        <w:spacing w:before="40" w:after="40"/>
      </w:pPr>
      <w:r>
        <w:rPr>
          <w:rFonts w:ascii="Arial" w:cs="Arial" w:eastAsia="Arial" w:hAnsi="Arial"/>
          <w:color w:val="333333"/>
          <w:sz w:val="20"/>
          <w:szCs w:val="20"/>
        </w:rPr>
        <w:t xml:space="preserve">Serve as Medical Monitor for an ADC-based NSCLC clinical trial, ensuring study integrity, enrollment timelines, and regulatory compliance. Oversee safety surveillance, query resolution, and dose-limiting toxicity assessments across investigational sites.</w:t>
      </w:r>
    </w:p>
    <w:p>
      <w:pPr>
        <w:pStyle w:val="ListParagraph"/>
        <w:numPr>
          <w:ilvl w:val="0"/>
          <w:numId w:val="3"/>
        </w:numPr>
        <w:spacing w:before="40" w:after="40"/>
      </w:pPr>
      <w:r>
        <w:rPr>
          <w:rFonts w:ascii="Arial" w:cs="Arial" w:eastAsia="Arial" w:hAnsi="Arial"/>
          <w:color w:val="333333"/>
          <w:sz w:val="20"/>
          <w:szCs w:val="20"/>
        </w:rPr>
        <w:t xml:space="preserve">Lead development of Study Protocols, Investigator's Brochures (IB), Clinical Development Plans (CDP), and Clinical Study Reports (CSR); serve as a standing member of the Clinical Strategy Team providing ongoing medical and scientific input to cross-functional study execution.</w:t>
      </w:r>
    </w:p>
    <w:p>
      <w:pPr>
        <w:pStyle w:val="ListParagraph"/>
        <w:numPr>
          <w:ilvl w:val="0"/>
          <w:numId w:val="3"/>
        </w:numPr>
        <w:spacing w:before="40" w:after="40"/>
      </w:pPr>
      <w:r>
        <w:rPr>
          <w:rFonts w:ascii="Arial" w:cs="Arial" w:eastAsia="Arial" w:hAnsi="Arial"/>
          <w:color w:val="333333"/>
          <w:sz w:val="20"/>
          <w:szCs w:val="20"/>
        </w:rPr>
        <w:t xml:space="preserve">Engage with key opinion leaders (KOLs) and external thought leaders in hematology and oncology to align on unmet medical needs, study design, and data interpretation; ensure adherence to GCP and pharmacovigilance standards across all assigned programs.</w:t>
      </w:r>
    </w:p>
    <w:p>
      <w:pPr>
        <w:pStyle w:val="ListParagraph"/>
        <w:numPr>
          <w:ilvl w:val="0"/>
          <w:numId w:val="3"/>
        </w:numPr>
        <w:spacing w:before="40" w:after="40"/>
      </w:pPr>
      <w:r>
        <w:rPr>
          <w:rFonts w:ascii="Arial" w:cs="Arial" w:eastAsia="Arial" w:hAnsi="Arial"/>
          <w:color w:val="333333"/>
          <w:sz w:val="20"/>
          <w:szCs w:val="20"/>
        </w:rPr>
        <w:t xml:space="preserve">Contribute to regulatory submissions including clinical sections of INDs, IND safety reports, and responses to regulatory authorities; support companion diagnostic development and co-development strategy for biomarker-selected patient populations.</w:t>
      </w:r>
    </w:p>
    <w:p>
      <w:pPr>
        <w:pStyle w:val="ListParagraph"/>
        <w:numPr>
          <w:ilvl w:val="0"/>
          <w:numId w:val="3"/>
        </w:numPr>
        <w:spacing w:before="40" w:after="40"/>
      </w:pPr>
      <w:r>
        <w:rPr>
          <w:rFonts w:ascii="Arial" w:cs="Arial" w:eastAsia="Arial" w:hAnsi="Arial"/>
          <w:color w:val="333333"/>
          <w:sz w:val="20"/>
          <w:szCs w:val="20"/>
        </w:rPr>
        <w:t xml:space="preserve">Provide medical and scientific review of checkpoint inhibitor projects — strategic assessment, individual case discussions, aggregated immune-related adverse event (irAE) analyses, and safety documentation including DSURs, CSRs, and publications.</w:t>
      </w:r>
    </w:p>
    <w:p>
      <w:pPr>
        <w:spacing w:before="140" w:after="0"/>
      </w:pPr>
      <w:r>
        <w:t xml:space="preserve"/>
      </w:r>
    </w:p>
    <w:p>
      <w:pPr>
        <w:spacing w:before="0" w:after="20"/>
      </w:pPr>
      <w:r>
        <w:rPr>
          <w:rFonts w:ascii="Arial" w:cs="Arial" w:eastAsia="Arial" w:hAnsi="Arial"/>
          <w:b/>
          <w:bCs/>
          <w:color w:val="000000"/>
          <w:sz w:val="22"/>
          <w:szCs w:val="22"/>
        </w:rPr>
        <w:t xml:space="preserve">Medical Consultant (Independent)</w:t>
      </w:r>
      <w:r>
        <w:rPr>
          <w:rFonts w:ascii="Arial" w:cs="Arial" w:eastAsia="Arial" w:hAnsi="Arial"/>
          <w:color w:val="000000"/>
          <w:sz w:val="22"/>
          <w:szCs w:val="22"/>
        </w:rPr>
        <w:t xml:space="preserve">  —  </w:t>
      </w:r>
    </w:p>
    <w:p>
      <w:pPr>
        <w:spacing w:before="0" w:after="60"/>
      </w:pPr>
      <w:r>
        <w:rPr>
          <w:rFonts w:ascii="Arial" w:cs="Arial" w:eastAsia="Arial" w:hAnsi="Arial"/>
          <w:i/>
          <w:iCs/>
          <w:color w:val="000000"/>
          <w:sz w:val="19"/>
          <w:szCs w:val="19"/>
        </w:rPr>
        <w:t xml:space="preserve">May 2023 – September 2023</w:t>
      </w:r>
    </w:p>
    <w:p>
      <w:pPr>
        <w:pStyle w:val="ListParagraph"/>
        <w:numPr>
          <w:ilvl w:val="0"/>
          <w:numId w:val="3"/>
        </w:numPr>
        <w:spacing w:before="40" w:after="40"/>
      </w:pPr>
      <w:r>
        <w:rPr>
          <w:rFonts w:ascii="Arial" w:cs="Arial" w:eastAsia="Arial" w:hAnsi="Arial"/>
          <w:color w:val="333333"/>
          <w:sz w:val="20"/>
          <w:szCs w:val="20"/>
        </w:rPr>
        <w:t xml:space="preserve">Designed and implemented study protocols supporting safety and product development plans for oncology clients during transition between full-time roles. Provided medical monitoring oversight and regulatory document review on a project basis.</w:t>
      </w:r>
    </w:p>
    <w:p>
      <w:pPr>
        <w:spacing w:before="140" w:after="0"/>
      </w:pPr>
      <w:r>
        <w:t xml:space="preserve"/>
      </w:r>
    </w:p>
    <w:p>
      <w:pPr>
        <w:spacing w:before="0" w:after="20"/>
      </w:pPr>
      <w:r>
        <w:rPr>
          <w:rFonts w:ascii="Arial" w:cs="Arial" w:eastAsia="Arial" w:hAnsi="Arial"/>
          <w:b/>
          <w:bCs/>
          <w:color w:val="000000"/>
          <w:sz w:val="22"/>
          <w:szCs w:val="22"/>
        </w:rPr>
        <w:t xml:space="preserve">Senior Medical Director, Clinical Development</w:t>
      </w:r>
      <w:r>
        <w:rPr>
          <w:rFonts w:ascii="Arial" w:cs="Arial" w:eastAsia="Arial" w:hAnsi="Arial"/>
          <w:color w:val="000000"/>
          <w:sz w:val="22"/>
          <w:szCs w:val="22"/>
        </w:rPr>
        <w:t xml:space="preserve">  —  Bolt Biotherapeutics</w:t>
      </w:r>
    </w:p>
    <w:p>
      <w:pPr>
        <w:spacing w:before="0" w:after="60"/>
      </w:pPr>
      <w:r>
        <w:rPr>
          <w:rFonts w:ascii="Arial" w:cs="Arial" w:eastAsia="Arial" w:hAnsi="Arial"/>
          <w:i/>
          <w:iCs/>
          <w:color w:val="000000"/>
          <w:sz w:val="19"/>
          <w:szCs w:val="19"/>
        </w:rPr>
        <w:t xml:space="preserve">December 2022 – April 2023</w:t>
      </w:r>
    </w:p>
    <w:p>
      <w:pPr>
        <w:pStyle w:val="ListParagraph"/>
        <w:numPr>
          <w:ilvl w:val="0"/>
          <w:numId w:val="3"/>
        </w:numPr>
        <w:spacing w:before="40" w:after="40"/>
      </w:pPr>
      <w:r>
        <w:rPr>
          <w:rFonts w:ascii="Arial" w:cs="Arial" w:eastAsia="Arial" w:hAnsi="Arial"/>
          <w:color w:val="333333"/>
          <w:sz w:val="20"/>
          <w:szCs w:val="20"/>
        </w:rPr>
        <w:t xml:space="preserve">Drove protocol development and IND filings for first-in-human (FIH) and early-phase oncology studies across ADC and monoclonal antibody (mAb) programs, from initial dose selection through escalation schema and stopping rules.</w:t>
      </w:r>
    </w:p>
    <w:p>
      <w:pPr>
        <w:pStyle w:val="ListParagraph"/>
        <w:numPr>
          <w:ilvl w:val="0"/>
          <w:numId w:val="3"/>
        </w:numPr>
        <w:spacing w:before="40" w:after="40"/>
      </w:pPr>
      <w:r>
        <w:rPr>
          <w:rFonts w:ascii="Arial" w:cs="Arial" w:eastAsia="Arial" w:hAnsi="Arial"/>
          <w:color w:val="333333"/>
          <w:sz w:val="20"/>
          <w:szCs w:val="20"/>
        </w:rPr>
        <w:t xml:space="preserve">Collaborated with translational biomarker scientists to refine product strategy, patient selection criteria, and companion diagnostic development plans. Integrated translational data into clinical development planning and protocol amendments.</w:t>
      </w:r>
    </w:p>
    <w:p>
      <w:pPr>
        <w:pStyle w:val="ListParagraph"/>
        <w:numPr>
          <w:ilvl w:val="0"/>
          <w:numId w:val="3"/>
        </w:numPr>
        <w:spacing w:before="40" w:after="40"/>
      </w:pPr>
      <w:r>
        <w:rPr>
          <w:rFonts w:ascii="Arial" w:cs="Arial" w:eastAsia="Arial" w:hAnsi="Arial"/>
          <w:color w:val="333333"/>
          <w:sz w:val="20"/>
          <w:szCs w:val="20"/>
        </w:rPr>
        <w:t xml:space="preserve">Prepared and presented development strategy to external advisory boards; incorporated feedback into program strategy and regulatory filing plans. Maintained KOL relationships to support scientific positioning and investigator engagement.</w:t>
      </w:r>
    </w:p>
    <w:p>
      <w:pPr>
        <w:pStyle w:val="ListParagraph"/>
        <w:numPr>
          <w:ilvl w:val="0"/>
          <w:numId w:val="3"/>
        </w:numPr>
        <w:spacing w:before="40" w:after="40"/>
      </w:pPr>
      <w:r>
        <w:rPr>
          <w:rFonts w:ascii="Arial" w:cs="Arial" w:eastAsia="Arial" w:hAnsi="Arial"/>
          <w:color w:val="333333"/>
          <w:sz w:val="20"/>
          <w:szCs w:val="20"/>
        </w:rPr>
        <w:t xml:space="preserve">Oversaw clinical data review including TFLs and bioanalytical outputs, safety signal assessments, and investigator guidance on safety management and dose modification decisions.</w:t>
      </w:r>
    </w:p>
    <w:p>
      <w:pPr>
        <w:spacing w:before="140" w:after="0"/>
      </w:pPr>
      <w:r>
        <w:t xml:space="preserve"/>
      </w:r>
    </w:p>
    <w:p>
      <w:pPr>
        <w:spacing w:before="0" w:after="20"/>
      </w:pPr>
      <w:r>
        <w:rPr>
          <w:rFonts w:ascii="Arial" w:cs="Arial" w:eastAsia="Arial" w:hAnsi="Arial"/>
          <w:b/>
          <w:bCs/>
          <w:color w:val="000000"/>
          <w:sz w:val="22"/>
          <w:szCs w:val="22"/>
        </w:rPr>
        <w:t xml:space="preserve">Senior Medical Director, Clinical Development</w:t>
      </w:r>
      <w:r>
        <w:rPr>
          <w:rFonts w:ascii="Arial" w:cs="Arial" w:eastAsia="Arial" w:hAnsi="Arial"/>
          <w:color w:val="000000"/>
          <w:sz w:val="22"/>
          <w:szCs w:val="22"/>
        </w:rPr>
        <w:t xml:space="preserve">  —  Xencor</w:t>
      </w:r>
    </w:p>
    <w:p>
      <w:pPr>
        <w:spacing w:before="0" w:after="60"/>
      </w:pPr>
      <w:r>
        <w:rPr>
          <w:rFonts w:ascii="Arial" w:cs="Arial" w:eastAsia="Arial" w:hAnsi="Arial"/>
          <w:i/>
          <w:iCs/>
          <w:color w:val="000000"/>
          <w:sz w:val="19"/>
          <w:szCs w:val="19"/>
        </w:rPr>
        <w:t xml:space="preserve">December 2020 – December 2022</w:t>
      </w:r>
    </w:p>
    <w:p>
      <w:pPr>
        <w:pStyle w:val="ListParagraph"/>
        <w:numPr>
          <w:ilvl w:val="0"/>
          <w:numId w:val="3"/>
        </w:numPr>
        <w:spacing w:before="40" w:after="40"/>
      </w:pPr>
      <w:r>
        <w:rPr>
          <w:rFonts w:ascii="Arial" w:cs="Arial" w:eastAsia="Arial" w:hAnsi="Arial"/>
          <w:color w:val="333333"/>
          <w:sz w:val="20"/>
          <w:szCs w:val="20"/>
        </w:rPr>
        <w:t xml:space="preserve">Served as Medical Monitor for early-phase bispecific antibody programs; reviewed data, queries, and safety monitoring plans across multiple concurrent studies.</w:t>
      </w:r>
    </w:p>
    <w:p>
      <w:pPr>
        <w:pStyle w:val="ListParagraph"/>
        <w:numPr>
          <w:ilvl w:val="0"/>
          <w:numId w:val="3"/>
        </w:numPr>
        <w:spacing w:before="40" w:after="40"/>
      </w:pPr>
      <w:r>
        <w:rPr>
          <w:rFonts w:ascii="Arial" w:cs="Arial" w:eastAsia="Arial" w:hAnsi="Arial"/>
          <w:color w:val="333333"/>
          <w:sz w:val="20"/>
          <w:szCs w:val="20"/>
        </w:rPr>
        <w:t xml:space="preserve">Led protocol development and IND module authorship for FIH and early-phase studies targeting bispecific antibodies, including PD-1/CTLA-4 and ENPP3/CD3 constructs. Named inventor on resulting U.S. provisional patent for ENPP3/CD3 bispecific dosing strategy.</w:t>
      </w:r>
    </w:p>
    <w:p>
      <w:pPr>
        <w:pStyle w:val="ListParagraph"/>
        <w:numPr>
          <w:ilvl w:val="0"/>
          <w:numId w:val="3"/>
        </w:numPr>
        <w:spacing w:before="40" w:after="40"/>
      </w:pPr>
      <w:r>
        <w:rPr>
          <w:rFonts w:ascii="Arial" w:cs="Arial" w:eastAsia="Arial" w:hAnsi="Arial"/>
          <w:color w:val="333333"/>
          <w:sz w:val="20"/>
          <w:szCs w:val="20"/>
        </w:rPr>
        <w:t xml:space="preserve">Led study data review including TFL outputs and bioanalytical datasets; authored and contributed to CSR and peer-reviewed publication development. Maintained KOL relationships to support cross-functional clinical development teams.</w:t>
      </w:r>
    </w:p>
    <w:p>
      <w:pPr>
        <w:spacing w:before="140" w:after="0"/>
      </w:pPr>
      <w:r>
        <w:t xml:space="preserve"/>
      </w:r>
    </w:p>
    <w:p>
      <w:pPr>
        <w:spacing w:before="0" w:after="20"/>
      </w:pPr>
      <w:r>
        <w:rPr>
          <w:rFonts w:ascii="Arial" w:cs="Arial" w:eastAsia="Arial" w:hAnsi="Arial"/>
          <w:b/>
          <w:bCs/>
          <w:color w:val="000000"/>
          <w:sz w:val="22"/>
          <w:szCs w:val="22"/>
        </w:rPr>
        <w:t xml:space="preserve">Clinical Development &amp; Safety Consultant</w:t>
      </w:r>
      <w:r>
        <w:rPr>
          <w:rFonts w:ascii="Arial" w:cs="Arial" w:eastAsia="Arial" w:hAnsi="Arial"/>
          <w:color w:val="000000"/>
          <w:sz w:val="22"/>
          <w:szCs w:val="22"/>
        </w:rPr>
        <w:t xml:space="preserve">  —  Lyvgen Bio</w:t>
      </w:r>
    </w:p>
    <w:p>
      <w:pPr>
        <w:spacing w:before="0" w:after="60"/>
      </w:pPr>
      <w:r>
        <w:rPr>
          <w:rFonts w:ascii="Arial" w:cs="Arial" w:eastAsia="Arial" w:hAnsi="Arial"/>
          <w:i/>
          <w:iCs/>
          <w:color w:val="000000"/>
          <w:sz w:val="19"/>
          <w:szCs w:val="19"/>
        </w:rPr>
        <w:t xml:space="preserve">November 2019 – December 2020</w:t>
      </w:r>
    </w:p>
    <w:p>
      <w:pPr>
        <w:pStyle w:val="ListParagraph"/>
        <w:numPr>
          <w:ilvl w:val="0"/>
          <w:numId w:val="3"/>
        </w:numPr>
        <w:spacing w:before="40" w:after="40"/>
      </w:pPr>
      <w:r>
        <w:rPr>
          <w:rFonts w:ascii="Arial" w:cs="Arial" w:eastAsia="Arial" w:hAnsi="Arial"/>
          <w:color w:val="333333"/>
          <w:sz w:val="20"/>
          <w:szCs w:val="20"/>
        </w:rPr>
        <w:t xml:space="preserve">Designed and executed FIH oncology study strategies; managed CRO relationships for IND submissions to both FDA and CDE (China), including clinical pharmacology and safety sections.</w:t>
      </w:r>
    </w:p>
    <w:p>
      <w:pPr>
        <w:pStyle w:val="ListParagraph"/>
        <w:numPr>
          <w:ilvl w:val="0"/>
          <w:numId w:val="3"/>
        </w:numPr>
        <w:spacing w:before="40" w:after="40"/>
      </w:pPr>
      <w:r>
        <w:rPr>
          <w:rFonts w:ascii="Arial" w:cs="Arial" w:eastAsia="Arial" w:hAnsi="Arial"/>
          <w:color w:val="333333"/>
          <w:sz w:val="20"/>
          <w:szCs w:val="20"/>
        </w:rPr>
        <w:t xml:space="preserve">Monitored patient eligibility, dose escalation and reduction decisions, and safety concerns across investigational sites. Provided medical oversight for adverse event management and protocol deviation assessment.</w:t>
      </w:r>
    </w:p>
    <w:p>
      <w:pPr>
        <w:pStyle w:val="ListParagraph"/>
        <w:numPr>
          <w:ilvl w:val="0"/>
          <w:numId w:val="3"/>
        </w:numPr>
        <w:spacing w:before="40" w:after="40"/>
      </w:pPr>
      <w:r>
        <w:rPr>
          <w:rFonts w:ascii="Arial" w:cs="Arial" w:eastAsia="Arial" w:hAnsi="Arial"/>
          <w:color w:val="333333"/>
          <w:sz w:val="20"/>
          <w:szCs w:val="20"/>
        </w:rPr>
        <w:t xml:space="preserve">Authored and reviewed key clinical and regulatory documents including study protocols, CRFs, informed consent forms (ICFs), DSURs, and risk management plans (RMPs). Recommended and developed KOL relationships and clinical investigator sites.</w:t>
      </w:r>
    </w:p>
    <w:p>
      <w:pPr>
        <w:spacing w:before="140" w:after="0"/>
      </w:pPr>
      <w:r>
        <w:t xml:space="preserve"/>
      </w:r>
    </w:p>
    <w:p>
      <w:pPr>
        <w:spacing w:before="0" w:after="20"/>
      </w:pPr>
      <w:r>
        <w:rPr>
          <w:rFonts w:ascii="Arial" w:cs="Arial" w:eastAsia="Arial" w:hAnsi="Arial"/>
          <w:b/>
          <w:bCs/>
          <w:color w:val="000000"/>
          <w:sz w:val="22"/>
          <w:szCs w:val="22"/>
        </w:rPr>
        <w:t xml:space="preserve">Director, Early Clinical Development &amp; Safety</w:t>
      </w:r>
      <w:r>
        <w:rPr>
          <w:rFonts w:ascii="Arial" w:cs="Arial" w:eastAsia="Arial" w:hAnsi="Arial"/>
          <w:color w:val="000000"/>
          <w:sz w:val="22"/>
          <w:szCs w:val="22"/>
        </w:rPr>
        <w:t xml:space="preserve">  —  CytomX</w:t>
      </w:r>
    </w:p>
    <w:p>
      <w:pPr>
        <w:spacing w:before="0" w:after="60"/>
      </w:pPr>
      <w:r>
        <w:rPr>
          <w:rFonts w:ascii="Arial" w:cs="Arial" w:eastAsia="Arial" w:hAnsi="Arial"/>
          <w:i/>
          <w:iCs/>
          <w:color w:val="000000"/>
          <w:sz w:val="19"/>
          <w:szCs w:val="19"/>
        </w:rPr>
        <w:t xml:space="preserve">January 2018 – November 2019</w:t>
      </w:r>
    </w:p>
    <w:p>
      <w:pPr>
        <w:pStyle w:val="ListParagraph"/>
        <w:numPr>
          <w:ilvl w:val="0"/>
          <w:numId w:val="3"/>
        </w:numPr>
        <w:spacing w:before="40" w:after="40"/>
      </w:pPr>
      <w:r>
        <w:rPr>
          <w:rFonts w:ascii="Arial" w:cs="Arial" w:eastAsia="Arial" w:hAnsi="Arial"/>
          <w:color w:val="333333"/>
          <w:sz w:val="20"/>
          <w:szCs w:val="20"/>
        </w:rPr>
        <w:t xml:space="preserve">Contributed to medical monitoring and developed clinical trial protocols, CRFs, and CSRs for oncology programs spanning PD-L1 probody and ADC modalities across Phase I/II.</w:t>
      </w:r>
    </w:p>
    <w:p>
      <w:pPr>
        <w:pStyle w:val="ListParagraph"/>
        <w:numPr>
          <w:ilvl w:val="0"/>
          <w:numId w:val="3"/>
        </w:numPr>
        <w:spacing w:before="40" w:after="40"/>
      </w:pPr>
      <w:r>
        <w:rPr>
          <w:rFonts w:ascii="Arial" w:cs="Arial" w:eastAsia="Arial" w:hAnsi="Arial"/>
          <w:color w:val="333333"/>
          <w:sz w:val="20"/>
          <w:szCs w:val="20"/>
        </w:rPr>
        <w:t xml:space="preserve">Led safety strategy for multiple biologics; oversaw safety signal detection, SUSAR submissions, and aggregate safety reviews. Implemented risk mitigation strategies in collaboration with CROs, site PIs, and academic partners.</w:t>
      </w:r>
    </w:p>
    <w:p>
      <w:pPr>
        <w:pStyle w:val="ListParagraph"/>
        <w:numPr>
          <w:ilvl w:val="0"/>
          <w:numId w:val="3"/>
        </w:numPr>
        <w:spacing w:before="40" w:after="40"/>
      </w:pPr>
      <w:r>
        <w:rPr>
          <w:rFonts w:ascii="Arial" w:cs="Arial" w:eastAsia="Arial" w:hAnsi="Arial"/>
          <w:color w:val="333333"/>
          <w:sz w:val="20"/>
          <w:szCs w:val="20"/>
        </w:rPr>
        <w:t xml:space="preserve">Collaborated with Regulatory Affairs, Clinical Operations, and CDM to ensure cross-functional alignment on safety reporting timelines and regulatory compliance.</w:t>
      </w:r>
    </w:p>
    <w:p>
      <w:pPr>
        <w:spacing w:before="140" w:after="0"/>
      </w:pPr>
      <w:r>
        <w:t xml:space="preserve"/>
      </w:r>
    </w:p>
    <w:p>
      <w:pPr>
        <w:spacing w:before="0" w:after="20"/>
      </w:pPr>
      <w:r>
        <w:rPr>
          <w:rFonts w:ascii="Arial" w:cs="Arial" w:eastAsia="Arial" w:hAnsi="Arial"/>
          <w:b/>
          <w:bCs/>
          <w:color w:val="000000"/>
          <w:sz w:val="22"/>
          <w:szCs w:val="22"/>
        </w:rPr>
        <w:t xml:space="preserve">Director / Senior Drug Safety Scientist</w:t>
      </w:r>
      <w:r>
        <w:rPr>
          <w:rFonts w:ascii="Arial" w:cs="Arial" w:eastAsia="Arial" w:hAnsi="Arial"/>
          <w:color w:val="000000"/>
          <w:sz w:val="22"/>
          <w:szCs w:val="22"/>
        </w:rPr>
        <w:t xml:space="preserve">  —  FibroGen</w:t>
      </w:r>
    </w:p>
    <w:p>
      <w:pPr>
        <w:spacing w:before="0" w:after="60"/>
      </w:pPr>
      <w:r>
        <w:rPr>
          <w:rFonts w:ascii="Arial" w:cs="Arial" w:eastAsia="Arial" w:hAnsi="Arial"/>
          <w:i/>
          <w:iCs/>
          <w:color w:val="000000"/>
          <w:sz w:val="19"/>
          <w:szCs w:val="19"/>
        </w:rPr>
        <w:t xml:space="preserve">2017</w:t>
      </w:r>
    </w:p>
    <w:p>
      <w:pPr>
        <w:pStyle w:val="ListParagraph"/>
        <w:numPr>
          <w:ilvl w:val="0"/>
          <w:numId w:val="3"/>
        </w:numPr>
        <w:spacing w:before="40" w:after="40"/>
      </w:pPr>
      <w:r>
        <w:rPr>
          <w:rFonts w:ascii="Arial" w:cs="Arial" w:eastAsia="Arial" w:hAnsi="Arial"/>
          <w:color w:val="333333"/>
          <w:sz w:val="20"/>
          <w:szCs w:val="20"/>
        </w:rPr>
        <w:t xml:space="preserve">Directed safety surveillance programs, aggregate safety reviews, and risk management plan development across the clinical portfolio.</w:t>
      </w:r>
    </w:p>
    <w:p>
      <w:pPr>
        <w:pStyle w:val="ListParagraph"/>
        <w:numPr>
          <w:ilvl w:val="0"/>
          <w:numId w:val="3"/>
        </w:numPr>
        <w:spacing w:before="40" w:after="40"/>
      </w:pPr>
      <w:r>
        <w:rPr>
          <w:rFonts w:ascii="Arial" w:cs="Arial" w:eastAsia="Arial" w:hAnsi="Arial"/>
          <w:color w:val="333333"/>
          <w:sz w:val="20"/>
          <w:szCs w:val="20"/>
        </w:rPr>
        <w:t xml:space="preserve">Authored safety sections for study protocols, CSRs, and periodic regulatory reports (DSUR, PBRER). Chaired cross-functional safety analysis teams and managed IDMC interactions including charter development and meeting facilitation.</w:t>
      </w:r>
    </w:p>
    <w:p>
      <w:pPr>
        <w:pStyle w:val="ListParagraph"/>
        <w:numPr>
          <w:ilvl w:val="0"/>
          <w:numId w:val="3"/>
        </w:numPr>
        <w:spacing w:before="40" w:after="40"/>
      </w:pPr>
      <w:r>
        <w:rPr>
          <w:rFonts w:ascii="Arial" w:cs="Arial" w:eastAsia="Arial" w:hAnsi="Arial"/>
          <w:color w:val="333333"/>
          <w:sz w:val="20"/>
          <w:szCs w:val="20"/>
        </w:rPr>
        <w:t xml:space="preserve">Prepared regulatory responses to safety questions from FDA and other health authorities; mentored junior safety scientists on signal detection, case assessment, and regulatory writing.</w:t>
      </w:r>
    </w:p>
    <w:p>
      <w:pPr>
        <w:spacing w:before="140" w:after="0"/>
      </w:pPr>
      <w:r>
        <w:t xml:space="preserve"/>
      </w:r>
    </w:p>
    <w:p>
      <w:pPr>
        <w:spacing w:before="0" w:after="20"/>
      </w:pPr>
      <w:r>
        <w:rPr>
          <w:rFonts w:ascii="Arial" w:cs="Arial" w:eastAsia="Arial" w:hAnsi="Arial"/>
          <w:b/>
          <w:bCs/>
          <w:color w:val="000000"/>
          <w:sz w:val="22"/>
          <w:szCs w:val="22"/>
        </w:rPr>
        <w:t xml:space="preserve">Drug Safety Scientist, Oncology</w:t>
      </w:r>
      <w:r>
        <w:rPr>
          <w:rFonts w:ascii="Arial" w:cs="Arial" w:eastAsia="Arial" w:hAnsi="Arial"/>
          <w:color w:val="000000"/>
          <w:sz w:val="22"/>
          <w:szCs w:val="22"/>
        </w:rPr>
        <w:t xml:space="preserve">  —  Genentech</w:t>
      </w:r>
    </w:p>
    <w:p>
      <w:pPr>
        <w:spacing w:before="0" w:after="60"/>
      </w:pPr>
      <w:r>
        <w:rPr>
          <w:rFonts w:ascii="Arial" w:cs="Arial" w:eastAsia="Arial" w:hAnsi="Arial"/>
          <w:i/>
          <w:iCs/>
          <w:color w:val="000000"/>
          <w:sz w:val="19"/>
          <w:szCs w:val="19"/>
        </w:rPr>
        <w:t xml:space="preserve">2013 – 2017</w:t>
      </w:r>
    </w:p>
    <w:p>
      <w:pPr>
        <w:pStyle w:val="ListParagraph"/>
        <w:numPr>
          <w:ilvl w:val="0"/>
          <w:numId w:val="3"/>
        </w:numPr>
        <w:spacing w:before="40" w:after="40"/>
      </w:pPr>
      <w:r>
        <w:rPr>
          <w:rFonts w:ascii="Arial" w:cs="Arial" w:eastAsia="Arial" w:hAnsi="Arial"/>
          <w:color w:val="333333"/>
          <w:sz w:val="20"/>
          <w:szCs w:val="20"/>
        </w:rPr>
        <w:t xml:space="preserve">Developed clinical safety strategies for oncology products from Phase I through Phase III and post-market, including programs in gynecologic oncology (ovarian cancer — veliparib combination study, published Eur. J. Cancer 2025), hematologic malignancies, and solid tumors.</w:t>
      </w:r>
    </w:p>
    <w:p>
      <w:pPr>
        <w:pStyle w:val="ListParagraph"/>
        <w:numPr>
          <w:ilvl w:val="0"/>
          <w:numId w:val="3"/>
        </w:numPr>
        <w:spacing w:before="40" w:after="40"/>
      </w:pPr>
      <w:r>
        <w:rPr>
          <w:rFonts w:ascii="Arial" w:cs="Arial" w:eastAsia="Arial" w:hAnsi="Arial"/>
          <w:color w:val="333333"/>
          <w:sz w:val="20"/>
          <w:szCs w:val="20"/>
        </w:rPr>
        <w:t xml:space="preserve">Served as SMT Safety Lead for multiple concurrent oncology trials; responsibilities spanned protocol review, SAP and CSR medical review, safety monitoring plan authorship, and cross-functional regulatory interface.</w:t>
      </w:r>
    </w:p>
    <w:p>
      <w:pPr>
        <w:pStyle w:val="ListParagraph"/>
        <w:numPr>
          <w:ilvl w:val="0"/>
          <w:numId w:val="3"/>
        </w:numPr>
        <w:spacing w:before="40" w:after="40"/>
      </w:pPr>
      <w:r>
        <w:rPr>
          <w:rFonts w:ascii="Arial" w:cs="Arial" w:eastAsia="Arial" w:hAnsi="Arial"/>
          <w:color w:val="333333"/>
          <w:sz w:val="20"/>
          <w:szCs w:val="20"/>
        </w:rPr>
        <w:t xml:space="preserve">Led IDMC interactions for assigned trials, including preparation of closed safety packages, presentation of aggregate safety data, and implementation of IDMC recommendations. Managed pharmacovigilance signal detection and periodic safety reporting (DSUR, PBRER).</w:t>
      </w:r>
    </w:p>
    <w:p>
      <w:pPr>
        <w:pStyle w:val="ListParagraph"/>
        <w:numPr>
          <w:ilvl w:val="0"/>
          <w:numId w:val="3"/>
        </w:numPr>
        <w:spacing w:before="40" w:after="40"/>
      </w:pPr>
      <w:r>
        <w:rPr>
          <w:rFonts w:ascii="Arial" w:cs="Arial" w:eastAsia="Arial" w:hAnsi="Arial"/>
          <w:color w:val="333333"/>
          <w:sz w:val="20"/>
          <w:szCs w:val="20"/>
        </w:rPr>
        <w:t xml:space="preserve">Co-authored DSURs, PBRERs, and contributed to global regulatory safety submissions. Maintained deep familiarity with FDA and EMA safety reporting requirements across multiple oncology development programs.</w:t>
      </w:r>
    </w:p>
    <w:p>
      <w:pPr>
        <w:spacing w:before="140" w:after="0"/>
      </w:pPr>
      <w:r>
        <w:t xml:space="preserve"/>
      </w:r>
    </w:p>
    <w:p>
      <w:pPr>
        <w:spacing w:before="0" w:after="20"/>
      </w:pPr>
      <w:r>
        <w:rPr>
          <w:rFonts w:ascii="Arial" w:cs="Arial" w:eastAsia="Arial" w:hAnsi="Arial"/>
          <w:b/>
          <w:bCs/>
          <w:color w:val="000000"/>
          <w:sz w:val="22"/>
          <w:szCs w:val="22"/>
        </w:rPr>
        <w:t xml:space="preserve">Medical Director</w:t>
      </w:r>
      <w:r>
        <w:rPr>
          <w:rFonts w:ascii="Arial" w:cs="Arial" w:eastAsia="Arial" w:hAnsi="Arial"/>
          <w:color w:val="000000"/>
          <w:sz w:val="22"/>
          <w:szCs w:val="22"/>
        </w:rPr>
        <w:t xml:space="preserve">  —  Hengrui Pharmaceuticals</w:t>
      </w:r>
    </w:p>
    <w:p>
      <w:pPr>
        <w:spacing w:before="0" w:after="60"/>
      </w:pPr>
      <w:r>
        <w:rPr>
          <w:rFonts w:ascii="Arial" w:cs="Arial" w:eastAsia="Arial" w:hAnsi="Arial"/>
          <w:i/>
          <w:iCs/>
          <w:color w:val="000000"/>
          <w:sz w:val="19"/>
          <w:szCs w:val="19"/>
        </w:rPr>
        <w:t xml:space="preserve">2012</w:t>
      </w:r>
    </w:p>
    <w:p>
      <w:pPr>
        <w:pStyle w:val="ListParagraph"/>
        <w:numPr>
          <w:ilvl w:val="0"/>
          <w:numId w:val="3"/>
        </w:numPr>
        <w:spacing w:before="40" w:after="40"/>
      </w:pPr>
      <w:r>
        <w:rPr>
          <w:rFonts w:ascii="Arial" w:cs="Arial" w:eastAsia="Arial" w:hAnsi="Arial"/>
          <w:color w:val="333333"/>
          <w:sz w:val="20"/>
          <w:szCs w:val="20"/>
        </w:rPr>
        <w:t xml:space="preserve">Oversaw Phase I/II clinical trials in diabetes and oncology-adjacent programs; managed NDA operations and SAE reporting compliance. Reviewed PK/PD outputs, CRFs, statistical analyses, and trial feasibility documents. Supervised medical team operations.</w:t>
      </w:r>
    </w:p>
    <w:p>
      <w:pPr>
        <w:spacing w:before="140" w:after="0"/>
      </w:pPr>
      <w:r>
        <w:t xml:space="preserve"/>
      </w:r>
    </w:p>
    <w:p>
      <w:pPr>
        <w:spacing w:before="0" w:after="20"/>
      </w:pPr>
      <w:r>
        <w:rPr>
          <w:rFonts w:ascii="Arial" w:cs="Arial" w:eastAsia="Arial" w:hAnsi="Arial"/>
          <w:b/>
          <w:bCs/>
          <w:color w:val="000000"/>
          <w:sz w:val="22"/>
          <w:szCs w:val="22"/>
        </w:rPr>
        <w:t xml:space="preserve">Senior Research Scientist</w:t>
      </w:r>
      <w:r>
        <w:rPr>
          <w:rFonts w:ascii="Arial" w:cs="Arial" w:eastAsia="Arial" w:hAnsi="Arial"/>
          <w:color w:val="000000"/>
          <w:sz w:val="22"/>
          <w:szCs w:val="22"/>
        </w:rPr>
        <w:t xml:space="preserve">  —  Corning Inc., Biochemical Technologies</w:t>
      </w:r>
    </w:p>
    <w:p>
      <w:pPr>
        <w:spacing w:before="0" w:after="60"/>
      </w:pPr>
      <w:r>
        <w:rPr>
          <w:rFonts w:ascii="Arial" w:cs="Arial" w:eastAsia="Arial" w:hAnsi="Arial"/>
          <w:i/>
          <w:iCs/>
          <w:color w:val="000000"/>
          <w:sz w:val="19"/>
          <w:szCs w:val="19"/>
        </w:rPr>
        <w:t xml:space="preserve">2008 – 2012</w:t>
      </w:r>
    </w:p>
    <w:p>
      <w:pPr>
        <w:pStyle w:val="ListParagraph"/>
        <w:numPr>
          <w:ilvl w:val="0"/>
          <w:numId w:val="3"/>
        </w:numPr>
        <w:spacing w:before="40" w:after="40"/>
      </w:pPr>
      <w:r>
        <w:rPr>
          <w:rFonts w:ascii="Arial" w:cs="Arial" w:eastAsia="Arial" w:hAnsi="Arial"/>
          <w:color w:val="333333"/>
          <w:sz w:val="20"/>
          <w:szCs w:val="20"/>
        </w:rPr>
        <w:t xml:space="preserve">Developed hepatocyte-based in vitro toxicity models for pharmaceutical drug safety prediction. Conducted competitive market analysis, IP landscape assessments, and authored technical research proposals. Secured internal competitive research funding.</w:t>
      </w:r>
    </w:p>
    <w:p>
      <w:pPr>
        <w:spacing w:before="140" w:after="0"/>
      </w:pPr>
      <w:r>
        <w:t xml:space="preserve"/>
      </w:r>
    </w:p>
    <w:p>
      <w:pPr>
        <w:spacing w:before="0" w:after="20"/>
      </w:pPr>
      <w:r>
        <w:rPr>
          <w:rFonts w:ascii="Arial" w:cs="Arial" w:eastAsia="Arial" w:hAnsi="Arial"/>
          <w:b/>
          <w:bCs/>
          <w:color w:val="000000"/>
          <w:sz w:val="22"/>
          <w:szCs w:val="22"/>
        </w:rPr>
        <w:t xml:space="preserve">Manager / Research Scientist</w:t>
      </w:r>
      <w:r>
        <w:rPr>
          <w:rFonts w:ascii="Arial" w:cs="Arial" w:eastAsia="Arial" w:hAnsi="Arial"/>
          <w:color w:val="000000"/>
          <w:sz w:val="22"/>
          <w:szCs w:val="22"/>
        </w:rPr>
        <w:t xml:space="preserve">  —  Novartis Vaccines &amp; Diagnostics</w:t>
      </w:r>
    </w:p>
    <w:p>
      <w:pPr>
        <w:spacing w:before="0" w:after="60"/>
      </w:pPr>
      <w:r>
        <w:rPr>
          <w:rFonts w:ascii="Arial" w:cs="Arial" w:eastAsia="Arial" w:hAnsi="Arial"/>
          <w:i/>
          <w:iCs/>
          <w:color w:val="000000"/>
          <w:sz w:val="19"/>
          <w:szCs w:val="19"/>
        </w:rPr>
        <w:t xml:space="preserve">2002 – 2008</w:t>
      </w:r>
    </w:p>
    <w:p>
      <w:pPr>
        <w:pStyle w:val="ListParagraph"/>
        <w:numPr>
          <w:ilvl w:val="0"/>
          <w:numId w:val="3"/>
        </w:numPr>
        <w:spacing w:before="40" w:after="40"/>
      </w:pPr>
      <w:r>
        <w:rPr>
          <w:rFonts w:ascii="Arial" w:cs="Arial" w:eastAsia="Arial" w:hAnsi="Arial"/>
          <w:color w:val="333333"/>
          <w:sz w:val="20"/>
          <w:szCs w:val="20"/>
        </w:rPr>
        <w:t xml:space="preserve">Developed viral vector vaccine technology platforms. Supervised research associates and managed cross-functional vaccine development projects from preclinical through early-stage development.</w:t>
      </w:r>
    </w:p>
    <w:p>
      <w:pPr>
        <w:spacing w:before="140" w:after="0"/>
      </w:pPr>
      <w:r>
        <w:t xml:space="preserve"/>
      </w:r>
    </w:p>
    <w:p>
      <w:pPr>
        <w:spacing w:before="0" w:after="20"/>
      </w:pPr>
      <w:r>
        <w:rPr>
          <w:rFonts w:ascii="Arial" w:cs="Arial" w:eastAsia="Arial" w:hAnsi="Arial"/>
          <w:b/>
          <w:bCs/>
          <w:color w:val="000000"/>
          <w:sz w:val="22"/>
          <w:szCs w:val="22"/>
        </w:rPr>
        <w:t xml:space="preserve">Postdoctoral Fellow</w:t>
      </w:r>
      <w:r>
        <w:rPr>
          <w:rFonts w:ascii="Arial" w:cs="Arial" w:eastAsia="Arial" w:hAnsi="Arial"/>
          <w:color w:val="000000"/>
          <w:sz w:val="22"/>
          <w:szCs w:val="22"/>
        </w:rPr>
        <w:t xml:space="preserve">  —  UT Southwestern Medical Center</w:t>
      </w:r>
    </w:p>
    <w:p>
      <w:pPr>
        <w:spacing w:before="0" w:after="60"/>
      </w:pPr>
      <w:r>
        <w:rPr>
          <w:rFonts w:ascii="Arial" w:cs="Arial" w:eastAsia="Arial" w:hAnsi="Arial"/>
          <w:i/>
          <w:iCs/>
          <w:color w:val="000000"/>
          <w:sz w:val="19"/>
          <w:szCs w:val="19"/>
        </w:rPr>
        <w:t xml:space="preserve">2001</w:t>
      </w:r>
    </w:p>
    <w:p>
      <w:pPr>
        <w:pStyle w:val="ListParagraph"/>
        <w:numPr>
          <w:ilvl w:val="0"/>
          <w:numId w:val="3"/>
        </w:numPr>
        <w:spacing w:before="40" w:after="40"/>
      </w:pPr>
      <w:r>
        <w:rPr>
          <w:rFonts w:ascii="Arial" w:cs="Arial" w:eastAsia="Arial" w:hAnsi="Arial"/>
          <w:color w:val="333333"/>
          <w:sz w:val="20"/>
          <w:szCs w:val="20"/>
        </w:rPr>
        <w:t xml:space="preserve">Studied transcriptional regulation of NPAS1 and neuronal signaling pathways in the context of central nervous system biology.</w:t>
      </w:r>
    </w:p>
    <w:p>
      <w:pPr>
        <w:spacing w:before="140" w:after="0"/>
      </w:pPr>
      <w:r>
        <w:t xml:space="preserve"/>
      </w:r>
    </w:p>
    <w:p>
      <w:pPr>
        <w:spacing w:before="0" w:after="20"/>
      </w:pPr>
      <w:r>
        <w:rPr>
          <w:rFonts w:ascii="Arial" w:cs="Arial" w:eastAsia="Arial" w:hAnsi="Arial"/>
          <w:b/>
          <w:bCs/>
          <w:color w:val="000000"/>
          <w:sz w:val="22"/>
          <w:szCs w:val="22"/>
        </w:rPr>
        <w:t xml:space="preserve">Graduate Research Assistant</w:t>
      </w:r>
      <w:r>
        <w:rPr>
          <w:rFonts w:ascii="Arial" w:cs="Arial" w:eastAsia="Arial" w:hAnsi="Arial"/>
          <w:color w:val="000000"/>
          <w:sz w:val="22"/>
          <w:szCs w:val="22"/>
        </w:rPr>
        <w:t xml:space="preserve">  —  USC Norris Cancer Center</w:t>
      </w:r>
    </w:p>
    <w:p>
      <w:pPr>
        <w:spacing w:before="0" w:after="60"/>
      </w:pPr>
      <w:r>
        <w:rPr>
          <w:rFonts w:ascii="Arial" w:cs="Arial" w:eastAsia="Arial" w:hAnsi="Arial"/>
          <w:i/>
          <w:iCs/>
          <w:color w:val="000000"/>
          <w:sz w:val="19"/>
          <w:szCs w:val="19"/>
        </w:rPr>
        <w:t xml:space="preserve">1994 – 2000</w:t>
      </w:r>
    </w:p>
    <w:p>
      <w:pPr>
        <w:pStyle w:val="ListParagraph"/>
        <w:numPr>
          <w:ilvl w:val="0"/>
          <w:numId w:val="3"/>
        </w:numPr>
        <w:spacing w:before="40" w:after="40"/>
      </w:pPr>
      <w:r>
        <w:rPr>
          <w:rFonts w:ascii="Arial" w:cs="Arial" w:eastAsia="Arial" w:hAnsi="Arial"/>
          <w:color w:val="333333"/>
          <w:sz w:val="20"/>
          <w:szCs w:val="20"/>
        </w:rPr>
        <w:t xml:space="preserve">Investigated epithelial-mesenchymal transition (EMT) and tumor invasion mechanisms using transgenic and knockout mouse models. Developed extensive expertise in antibody and protein production, purification, and characterization.</w:t>
      </w:r>
    </w:p>
    <w:p>
      <w:pPr>
        <w:spacing w:before="200" w:after="0"/>
      </w:pPr>
      <w:r>
        <w:t xml:space="preserve"/>
      </w:r>
    </w:p>
    <w:p>
      <w:pPr>
        <w:spacing w:before="0" w:after="60"/>
      </w:pPr>
      <w:r>
        <w:rPr>
          <w:rFonts w:ascii="Arial" w:cs="Arial" w:eastAsia="Arial" w:hAnsi="Arial"/>
          <w:b/>
          <w:bCs/>
          <w:color w:val="000000"/>
          <w:spacing w:val="40"/>
          <w:sz w:val="22"/>
          <w:szCs w:val="22"/>
        </w:rPr>
        <w:t xml:space="preserve">EDUCATION</w:t>
      </w:r>
    </w:p>
    <w:p>
      <w:pPr>
        <w:pBdr>
          <w:bottom w:val="single" w:color="000000" w:sz="4" w:space="1"/>
        </w:pBdr>
        <w:spacing w:before="0" w:after="0"/>
      </w:pPr>
      <w:r>
        <w:t xml:space="preserve"/>
      </w:r>
    </w:p>
    <w:p>
      <w:pPr>
        <w:spacing w:before="60" w:after="0"/>
      </w:pPr>
      <w:r>
        <w:t xml:space="preserve"/>
      </w:r>
    </w:p>
    <w:p>
      <w:pPr>
        <w:spacing w:before="40" w:after="40"/>
      </w:pPr>
      <w:r>
        <w:rPr>
          <w:rFonts w:ascii="Arial" w:cs="Arial" w:eastAsia="Arial" w:hAnsi="Arial"/>
          <w:b/>
          <w:bCs/>
          <w:color w:val="000000"/>
          <w:sz w:val="20"/>
          <w:szCs w:val="20"/>
        </w:rPr>
        <w:t xml:space="preserve">Ph.D., Molecular Microbiology &amp; Immunology</w:t>
      </w:r>
      <w:r>
        <w:rPr>
          <w:rFonts w:ascii="Arial" w:cs="Arial" w:eastAsia="Arial" w:hAnsi="Arial"/>
          <w:color w:val="000000"/>
          <w:sz w:val="20"/>
          <w:szCs w:val="20"/>
        </w:rPr>
        <w:t xml:space="preserve">  |  University of Southern California, Norris Cancer Center, Los Angeles, CA</w:t>
      </w:r>
    </w:p>
    <w:p>
      <w:pPr>
        <w:spacing w:before="40" w:after="40"/>
      </w:pPr>
      <w:r>
        <w:rPr>
          <w:rFonts w:ascii="Arial" w:cs="Arial" w:eastAsia="Arial" w:hAnsi="Arial"/>
          <w:b/>
          <w:bCs/>
          <w:color w:val="000000"/>
          <w:sz w:val="20"/>
          <w:szCs w:val="20"/>
        </w:rPr>
        <w:t xml:space="preserve">M.D.</w:t>
      </w:r>
      <w:r>
        <w:rPr>
          <w:rFonts w:ascii="Arial" w:cs="Arial" w:eastAsia="Arial" w:hAnsi="Arial"/>
          <w:color w:val="000000"/>
          <w:sz w:val="20"/>
          <w:szCs w:val="20"/>
        </w:rPr>
        <w:t xml:space="preserve">  |  Fudan University School of Medicine, Shanghai, China</w:t>
      </w:r>
    </w:p>
    <w:p>
      <w:pPr>
        <w:spacing w:before="200" w:after="0"/>
      </w:pPr>
      <w:r>
        <w:t xml:space="preserve"/>
      </w:r>
    </w:p>
    <w:p>
      <w:pPr>
        <w:spacing w:before="0" w:after="60"/>
      </w:pPr>
      <w:r>
        <w:rPr>
          <w:rFonts w:ascii="Arial" w:cs="Arial" w:eastAsia="Arial" w:hAnsi="Arial"/>
          <w:b/>
          <w:bCs/>
          <w:color w:val="000000"/>
          <w:spacing w:val="40"/>
          <w:sz w:val="22"/>
          <w:szCs w:val="22"/>
        </w:rPr>
        <w:t xml:space="preserve">SELECTED PUBLICATIONS &amp; PATENTS</w:t>
      </w:r>
    </w:p>
    <w:p>
      <w:pPr>
        <w:pBdr>
          <w:bottom w:val="single" w:color="000000" w:sz="4" w:space="1"/>
        </w:pBdr>
        <w:spacing w:before="0" w:after="0"/>
      </w:pPr>
      <w:r>
        <w:t xml:space="preserve"/>
      </w:r>
    </w:p>
    <w:p>
      <w:pPr>
        <w:spacing w:before="60" w:after="0"/>
      </w:pPr>
      <w:r>
        <w:t xml:space="preserve"/>
      </w:r>
    </w:p>
    <w:p>
      <w:pPr>
        <w:pStyle w:val="ListParagraph"/>
        <w:numPr>
          <w:ilvl w:val="0"/>
          <w:numId w:val="3"/>
        </w:numPr>
        <w:spacing w:before="40" w:after="40"/>
      </w:pPr>
      <w:r>
        <w:rPr>
          <w:rFonts w:ascii="Arial" w:cs="Arial" w:eastAsia="Arial" w:hAnsi="Arial"/>
          <w:color w:val="333333"/>
          <w:sz w:val="20"/>
          <w:szCs w:val="20"/>
        </w:rPr>
        <w:t xml:space="preserve">Coleman RL, Fleming GF, Brady MF, Swisher EM, Steffensen KD, Friedlander M, Okamoto A, Moore KN, Leath CA III, Cella D, Sun Z, Patel S, Tang Z, et al. Veliparib concomitant with first-line chemotherapy and as maintenance therapy in ovarian cancer: Final overall survival and disease-related symptoms results. European Journal of Cancer. Vol. 225, July 2025, 115587.</w:t>
      </w:r>
    </w:p>
    <w:p>
      <w:pPr>
        <w:pStyle w:val="ListParagraph"/>
        <w:numPr>
          <w:ilvl w:val="0"/>
          <w:numId w:val="3"/>
        </w:numPr>
        <w:spacing w:before="40" w:after="40"/>
      </w:pPr>
      <w:r>
        <w:rPr>
          <w:rFonts w:ascii="Arial" w:cs="Arial" w:eastAsia="Arial" w:hAnsi="Arial"/>
          <w:color w:val="333333"/>
          <w:sz w:val="20"/>
          <w:szCs w:val="20"/>
        </w:rPr>
        <w:t xml:space="preserve">Dosing of a Bispecific Antibody that Binds ENPP3 and CD3. U.S. Provisional Patent Application No. 63/351,660. [Named Inventor]</w:t>
      </w:r>
    </w:p>
    <w:p>
      <w:pPr>
        <w:spacing w:before="160" w:after="0"/>
      </w:pPr>
      <w:r>
        <w:t xml:space="preserve"/>
      </w:r>
    </w:p>
    <w:p>
      <w:pPr>
        <w:pBdr>
          <w:bottom w:val="single" w:color="CCCCCC" w:sz="2" w:space="1"/>
        </w:pBdr>
        <w:spacing w:before="0" w:after="0"/>
      </w:pPr>
      <w:r>
        <w:t xml:space="preserve"/>
      </w:r>
    </w:p>
    <w:p>
      <w:pPr>
        <w:spacing w:before="40" w:after="0"/>
      </w:pPr>
      <w:r>
        <w:t xml:space="preserve"/>
      </w:r>
    </w:p>
    <w:p>
      <w:pPr>
        <w:spacing w:before="0" w:after="0"/>
        <w:jc w:val="center"/>
      </w:pPr>
      <w:r>
        <w:rPr>
          <w:rFonts w:ascii="Arial" w:cs="Arial" w:eastAsia="Arial" w:hAnsi="Arial"/>
          <w:i/>
          <w:iCs/>
          <w:color w:val="AAAAAA"/>
          <w:sz w:val="18"/>
          <w:szCs w:val="18"/>
        </w:rPr>
        <w:t xml:space="preserve">References available upon request</w:t>
      </w:r>
    </w:p>
    <w:sectPr>
      <w:pgSz w:w="12240" w:h="15840" w:orient="portrait"/>
      <w:pgMar w:top="576" w:right="576" w:bottom="576"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2026-03-09T18:35:50.926Z</dcterms:created>
  <dcterms:modified xsi:type="dcterms:W3CDTF">2026-03-09T18:35:50.928Z</dcterms:modified>
</cp:coreProperties>
</file>

<file path=docProps/custom.xml><?xml version="1.0" encoding="utf-8"?>
<Properties xmlns="http://schemas.openxmlformats.org/officeDocument/2006/custom-properties" xmlns:vt="http://schemas.openxmlformats.org/officeDocument/2006/docPropsVTypes"/>
</file>