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ED6BF5" w14:textId="77777777" w:rsidR="00262B09" w:rsidRPr="00262B09" w:rsidRDefault="00262B09" w:rsidP="00262B09">
      <w:pPr>
        <w:spacing w:after="0" w:line="240" w:lineRule="auto"/>
        <w:rPr>
          <w:rFonts w:ascii="Times New Roman" w:eastAsia="Times New Roman" w:hAnsi="Times New Roman" w:cs="Times New Roman"/>
          <w:sz w:val="24"/>
          <w:szCs w:val="24"/>
        </w:rPr>
      </w:pPr>
      <w:proofErr w:type="spellStart"/>
      <w:r w:rsidRPr="00262B09">
        <w:rPr>
          <w:rFonts w:ascii="Times New Roman" w:eastAsia="Times New Roman" w:hAnsi="Times New Roman" w:cs="Times New Roman"/>
          <w:b/>
          <w:bCs/>
          <w:sz w:val="21"/>
          <w:szCs w:val="21"/>
        </w:rPr>
        <w:t>ImmunoGen</w:t>
      </w:r>
      <w:proofErr w:type="spellEnd"/>
      <w:r w:rsidRPr="00262B09">
        <w:rPr>
          <w:rFonts w:ascii="Times New Roman" w:eastAsia="Times New Roman" w:hAnsi="Times New Roman" w:cs="Times New Roman"/>
          <w:b/>
          <w:bCs/>
          <w:sz w:val="21"/>
          <w:szCs w:val="21"/>
        </w:rPr>
        <w:t>- Waltham, MA</w:t>
      </w:r>
    </w:p>
    <w:p w14:paraId="7A53710A" w14:textId="77777777" w:rsidR="00262B09" w:rsidRPr="00262B09" w:rsidRDefault="00262B09" w:rsidP="00262B09">
      <w:pPr>
        <w:spacing w:after="100" w:afterAutospacing="1" w:line="240" w:lineRule="auto"/>
        <w:outlineLvl w:val="0"/>
        <w:rPr>
          <w:rFonts w:ascii="Times New Roman" w:eastAsia="Times New Roman" w:hAnsi="Times New Roman" w:cs="Times New Roman"/>
          <w:b/>
          <w:bCs/>
          <w:kern w:val="36"/>
          <w:sz w:val="48"/>
          <w:szCs w:val="48"/>
        </w:rPr>
      </w:pPr>
      <w:r w:rsidRPr="00262B09">
        <w:rPr>
          <w:rFonts w:ascii="Times New Roman" w:eastAsia="Times New Roman" w:hAnsi="Times New Roman" w:cs="Times New Roman"/>
          <w:b/>
          <w:bCs/>
          <w:kern w:val="36"/>
          <w:sz w:val="21"/>
          <w:szCs w:val="21"/>
        </w:rPr>
        <w:t>Sr Dir or DIRECTOR, CLINICAL PHARMACOLOGY</w:t>
      </w:r>
    </w:p>
    <w:p w14:paraId="6E248112" w14:textId="77777777" w:rsidR="00262B09" w:rsidRPr="00262B09" w:rsidRDefault="00262B09" w:rsidP="00262B09">
      <w:pPr>
        <w:spacing w:after="0" w:line="240" w:lineRule="auto"/>
        <w:rPr>
          <w:rFonts w:ascii="Times New Roman" w:eastAsia="Times New Roman" w:hAnsi="Times New Roman" w:cs="Times New Roman"/>
          <w:sz w:val="24"/>
          <w:szCs w:val="24"/>
        </w:rPr>
      </w:pPr>
    </w:p>
    <w:p w14:paraId="097873DF" w14:textId="77777777" w:rsidR="00262B09" w:rsidRPr="00262B09" w:rsidRDefault="00262B09" w:rsidP="00262B09">
      <w:pPr>
        <w:spacing w:after="0" w:line="240" w:lineRule="auto"/>
        <w:rPr>
          <w:rFonts w:ascii="Times New Roman" w:eastAsia="Times New Roman" w:hAnsi="Times New Roman" w:cs="Times New Roman"/>
          <w:sz w:val="24"/>
          <w:szCs w:val="24"/>
        </w:rPr>
      </w:pPr>
      <w:proofErr w:type="spellStart"/>
      <w:r w:rsidRPr="00262B09">
        <w:rPr>
          <w:rFonts w:ascii="Times New Roman" w:eastAsia="Times New Roman" w:hAnsi="Times New Roman" w:cs="Times New Roman"/>
          <w:sz w:val="21"/>
          <w:szCs w:val="21"/>
        </w:rPr>
        <w:t>ImmunoGen</w:t>
      </w:r>
      <w:proofErr w:type="spellEnd"/>
      <w:r w:rsidRPr="00262B09">
        <w:rPr>
          <w:rFonts w:ascii="Times New Roman" w:eastAsia="Times New Roman" w:hAnsi="Times New Roman" w:cs="Times New Roman"/>
          <w:sz w:val="21"/>
          <w:szCs w:val="21"/>
        </w:rPr>
        <w:t xml:space="preserve"> is developing the next generation of antibody-drug conjugates (ADCs) to improve outcomes for cancer patients. By generating targeted therapies with enhanced anti-tumor activity and favorable tolerability profiles, we aim to disrupt the progression of cancer and offer our patients more good days. We call this our commitment to “target a better now.”</w:t>
      </w:r>
    </w:p>
    <w:p w14:paraId="6D01EDE1"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 </w:t>
      </w:r>
    </w:p>
    <w:p w14:paraId="7E0FAF98"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Learn more about who we are, what we do, and how we do it at </w:t>
      </w:r>
      <w:hyperlink r:id="rId5" w:tgtFrame="_blank" w:history="1">
        <w:r w:rsidRPr="00262B09">
          <w:rPr>
            <w:rFonts w:ascii="Times New Roman" w:eastAsia="Times New Roman" w:hAnsi="Times New Roman" w:cs="Times New Roman"/>
            <w:color w:val="0000FF"/>
            <w:sz w:val="21"/>
            <w:szCs w:val="21"/>
            <w:u w:val="single"/>
          </w:rPr>
          <w:t>www.immunogen.com</w:t>
        </w:r>
      </w:hyperlink>
      <w:r w:rsidRPr="00262B09">
        <w:rPr>
          <w:rFonts w:ascii="Times New Roman" w:eastAsia="Times New Roman" w:hAnsi="Times New Roman" w:cs="Times New Roman"/>
          <w:sz w:val="21"/>
          <w:szCs w:val="21"/>
        </w:rPr>
        <w:t>.</w:t>
      </w:r>
    </w:p>
    <w:p w14:paraId="3AD058EC"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 </w:t>
      </w:r>
    </w:p>
    <w:p w14:paraId="65F03591"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 </w:t>
      </w:r>
    </w:p>
    <w:p w14:paraId="4B43E1BA"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The Opportunity</w:t>
      </w:r>
    </w:p>
    <w:p w14:paraId="0637858C"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xml:space="preserve">This individual will have a range of responsibilities within the Clinical Development functional area and will be expected to collaborate with medical directors, clinical scientists, biostatisticians, translational scientists, researchers, </w:t>
      </w:r>
      <w:proofErr w:type="gramStart"/>
      <w:r w:rsidRPr="00262B09">
        <w:rPr>
          <w:rFonts w:ascii="Times New Roman" w:eastAsia="Times New Roman" w:hAnsi="Times New Roman" w:cs="Times New Roman"/>
          <w:sz w:val="21"/>
          <w:szCs w:val="21"/>
        </w:rPr>
        <w:t>toxicologists</w:t>
      </w:r>
      <w:proofErr w:type="gramEnd"/>
      <w:r w:rsidRPr="00262B09">
        <w:rPr>
          <w:rFonts w:ascii="Times New Roman" w:eastAsia="Times New Roman" w:hAnsi="Times New Roman" w:cs="Times New Roman"/>
          <w:sz w:val="21"/>
          <w:szCs w:val="21"/>
        </w:rPr>
        <w:t xml:space="preserve"> and bioassay specialists to support projects in the areas of oncology and hematology. This individual will report to the Head of Translational Sciences and interact frequently with Project Team Leads and Senior Management. The primary focus of this role is to oversee the development of clinical pharmacology programs from early research, through non-clinical development and into clinical development including leading novel assay development, sample management/tracking and data analysis and reporting.</w:t>
      </w:r>
    </w:p>
    <w:p w14:paraId="1B0B11B2"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 </w:t>
      </w:r>
    </w:p>
    <w:p w14:paraId="12B2983B"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Responsibilities to include:</w:t>
      </w:r>
    </w:p>
    <w:p w14:paraId="6886DC9C"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xml:space="preserve">Provide scientific leadership in clinical pharmacology to support effective development of portfolio compounds with respect to clinical pharmacokinetics, immunogenicity and </w:t>
      </w:r>
      <w:proofErr w:type="gramStart"/>
      <w:r w:rsidRPr="00262B09">
        <w:rPr>
          <w:rFonts w:ascii="Times New Roman" w:eastAsia="Times New Roman" w:hAnsi="Times New Roman" w:cs="Times New Roman"/>
          <w:sz w:val="21"/>
          <w:szCs w:val="21"/>
        </w:rPr>
        <w:t>ADME</w:t>
      </w:r>
      <w:proofErr w:type="gramEnd"/>
    </w:p>
    <w:p w14:paraId="18CA29F6"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Conducting PK, PK/</w:t>
      </w:r>
      <w:proofErr w:type="gramStart"/>
      <w:r w:rsidRPr="00262B09">
        <w:rPr>
          <w:rFonts w:ascii="Times New Roman" w:eastAsia="Times New Roman" w:hAnsi="Times New Roman" w:cs="Times New Roman"/>
          <w:sz w:val="21"/>
          <w:szCs w:val="21"/>
        </w:rPr>
        <w:t>PD</w:t>
      </w:r>
      <w:proofErr w:type="gramEnd"/>
      <w:r w:rsidRPr="00262B09">
        <w:rPr>
          <w:rFonts w:ascii="Times New Roman" w:eastAsia="Times New Roman" w:hAnsi="Times New Roman" w:cs="Times New Roman"/>
          <w:sz w:val="21"/>
          <w:szCs w:val="21"/>
        </w:rPr>
        <w:t xml:space="preserve"> and immunogenicity complex data analyses; interpreting and reporting results</w:t>
      </w:r>
    </w:p>
    <w:p w14:paraId="1EB87B51"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Being a key member of development teams and supporting clinical trial operations and execution through authoring of analysis plans, appropriate sections of clinical protocols, ICF’s, IB’s, DSUR’s etc.)</w:t>
      </w:r>
    </w:p>
    <w:p w14:paraId="265F87B4"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xml:space="preserve">Oversee GLP and non-GLP Bioassay development, including ADA and neutralizing antibody </w:t>
      </w:r>
      <w:proofErr w:type="spellStart"/>
      <w:proofErr w:type="gramStart"/>
      <w:r w:rsidRPr="00262B09">
        <w:rPr>
          <w:rFonts w:ascii="Times New Roman" w:eastAsia="Times New Roman" w:hAnsi="Times New Roman" w:cs="Times New Roman"/>
          <w:sz w:val="21"/>
          <w:szCs w:val="21"/>
        </w:rPr>
        <w:t>assays,provide</w:t>
      </w:r>
      <w:proofErr w:type="spellEnd"/>
      <w:proofErr w:type="gramEnd"/>
      <w:r w:rsidRPr="00262B09">
        <w:rPr>
          <w:rFonts w:ascii="Times New Roman" w:eastAsia="Times New Roman" w:hAnsi="Times New Roman" w:cs="Times New Roman"/>
          <w:sz w:val="21"/>
          <w:szCs w:val="21"/>
        </w:rPr>
        <w:t xml:space="preserve"> input to non-clinical DMPK and ADME programs and supervise preparation and execution of clinical pharmacology plans.</w:t>
      </w:r>
    </w:p>
    <w:p w14:paraId="39E5BD7D"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Support Drug Metabolism and Pharmacokinetics activity to ensure an integrated and efficient approach.</w:t>
      </w:r>
    </w:p>
    <w:p w14:paraId="3DA3279F"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Provide strategic direction to the writing and review of clinical protocols, clinical study reports and Clinical Pharmacology documents, meeting background packages, and other documents submitted to regulatory authorities.</w:t>
      </w:r>
    </w:p>
    <w:p w14:paraId="3733D5FB"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Interacts with regulatory agencies and advisory committees as appropriate.</w:t>
      </w:r>
    </w:p>
    <w:p w14:paraId="5AA4C224" w14:textId="77777777" w:rsidR="00262B09" w:rsidRPr="00262B09" w:rsidRDefault="00262B09" w:rsidP="00262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Manage department level budget and resources.</w:t>
      </w:r>
    </w:p>
    <w:p w14:paraId="7DB8D59C"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w:t>
      </w:r>
    </w:p>
    <w:p w14:paraId="36E7CF83" w14:textId="77777777" w:rsidR="00262B09" w:rsidRPr="00262B09" w:rsidRDefault="00262B09" w:rsidP="00262B09">
      <w:pPr>
        <w:spacing w:after="0"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b/>
          <w:bCs/>
          <w:sz w:val="21"/>
          <w:szCs w:val="21"/>
        </w:rPr>
        <w:t xml:space="preserve">Who You </w:t>
      </w:r>
      <w:proofErr w:type="gramStart"/>
      <w:r w:rsidRPr="00262B09">
        <w:rPr>
          <w:rFonts w:ascii="Times New Roman" w:eastAsia="Times New Roman" w:hAnsi="Times New Roman" w:cs="Times New Roman"/>
          <w:b/>
          <w:bCs/>
          <w:sz w:val="21"/>
          <w:szCs w:val="21"/>
        </w:rPr>
        <w:t>Are</w:t>
      </w:r>
      <w:proofErr w:type="gramEnd"/>
      <w:r w:rsidRPr="00262B09">
        <w:rPr>
          <w:rFonts w:ascii="Times New Roman" w:eastAsia="Times New Roman" w:hAnsi="Times New Roman" w:cs="Times New Roman"/>
          <w:sz w:val="21"/>
          <w:szCs w:val="21"/>
        </w:rPr>
        <w:t> </w:t>
      </w:r>
    </w:p>
    <w:p w14:paraId="7610A895"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PhD or Pharm D with training in clinical pharmacology.</w:t>
      </w:r>
    </w:p>
    <w:p w14:paraId="78204DB8"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5-7 years hands on experience in the application of clinical pharmacology within the context of drug development in a corporate setting.</w:t>
      </w:r>
    </w:p>
    <w:p w14:paraId="0A5273C6"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Prior experience in managing direct reports.</w:t>
      </w:r>
    </w:p>
    <w:p w14:paraId="18302403"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Expert knowledge in pharmacokinetics, immunogenicity, drug-drug interactions, bioavailability/bioequivalence, special populations, QTc assessment and dose selection.</w:t>
      </w:r>
    </w:p>
    <w:p w14:paraId="09E23998"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xml:space="preserve">Prior experience with ADCs is </w:t>
      </w:r>
      <w:proofErr w:type="gramStart"/>
      <w:r w:rsidRPr="00262B09">
        <w:rPr>
          <w:rFonts w:ascii="Times New Roman" w:eastAsia="Times New Roman" w:hAnsi="Times New Roman" w:cs="Times New Roman"/>
          <w:sz w:val="21"/>
          <w:szCs w:val="21"/>
        </w:rPr>
        <w:t>preferred</w:t>
      </w:r>
      <w:proofErr w:type="gramEnd"/>
    </w:p>
    <w:p w14:paraId="46C84007" w14:textId="77777777" w:rsidR="00262B09" w:rsidRPr="00262B09" w:rsidRDefault="00262B09" w:rsidP="00262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B09">
        <w:rPr>
          <w:rFonts w:ascii="Times New Roman" w:eastAsia="Times New Roman" w:hAnsi="Times New Roman" w:cs="Times New Roman"/>
          <w:sz w:val="21"/>
          <w:szCs w:val="21"/>
        </w:rPr>
        <w:t xml:space="preserve">Knowledge of current practices, regulatory </w:t>
      </w:r>
      <w:proofErr w:type="gramStart"/>
      <w:r w:rsidRPr="00262B09">
        <w:rPr>
          <w:rFonts w:ascii="Times New Roman" w:eastAsia="Times New Roman" w:hAnsi="Times New Roman" w:cs="Times New Roman"/>
          <w:sz w:val="21"/>
          <w:szCs w:val="21"/>
        </w:rPr>
        <w:t>requirements</w:t>
      </w:r>
      <w:proofErr w:type="gramEnd"/>
      <w:r w:rsidRPr="00262B09">
        <w:rPr>
          <w:rFonts w:ascii="Times New Roman" w:eastAsia="Times New Roman" w:hAnsi="Times New Roman" w:cs="Times New Roman"/>
          <w:sz w:val="21"/>
          <w:szCs w:val="21"/>
        </w:rPr>
        <w:t xml:space="preserve"> and issues in </w:t>
      </w:r>
      <w:proofErr w:type="spellStart"/>
      <w:r w:rsidRPr="00262B09">
        <w:rPr>
          <w:rFonts w:ascii="Times New Roman" w:eastAsia="Times New Roman" w:hAnsi="Times New Roman" w:cs="Times New Roman"/>
          <w:sz w:val="21"/>
          <w:szCs w:val="21"/>
        </w:rPr>
        <w:t>bioanalytics</w:t>
      </w:r>
      <w:proofErr w:type="spellEnd"/>
      <w:r w:rsidRPr="00262B09">
        <w:rPr>
          <w:rFonts w:ascii="Times New Roman" w:eastAsia="Times New Roman" w:hAnsi="Times New Roman" w:cs="Times New Roman"/>
          <w:sz w:val="21"/>
          <w:szCs w:val="21"/>
        </w:rPr>
        <w:t>, biopharmaceutics, pharmacology, and toxicology</w:t>
      </w:r>
    </w:p>
    <w:p w14:paraId="66C509A0"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E181E"/>
    <w:multiLevelType w:val="multilevel"/>
    <w:tmpl w:val="B48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3A7A9D"/>
    <w:multiLevelType w:val="multilevel"/>
    <w:tmpl w:val="586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09"/>
    <w:rsid w:val="001808E9"/>
    <w:rsid w:val="001C409D"/>
    <w:rsid w:val="00262B09"/>
    <w:rsid w:val="002D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09E5"/>
  <w15:chartTrackingRefBased/>
  <w15:docId w15:val="{C5F8971A-1CF6-4BC4-97C3-5EC9FE35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2B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0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62B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2B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434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mmunoge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2021-03-01T13:40:00Z</dcterms:created>
  <dcterms:modified xsi:type="dcterms:W3CDTF">2021-03-01T13:40:00Z</dcterms:modified>
</cp:coreProperties>
</file>