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9E932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</w:rPr>
        <w:t>Alnylam- remote on EST/CST or Cambridge. MA</w:t>
      </w:r>
    </w:p>
    <w:p w14:paraId="4D53D9A3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eastAsiaTheme="majorEastAsia"/>
          <w:color w:val="3E3E3C"/>
          <w:sz w:val="21"/>
          <w:szCs w:val="21"/>
        </w:rPr>
        <w:t>AD Biostatistics (would consider Dir level too)</w:t>
      </w:r>
    </w:p>
    <w:p w14:paraId="24D11E14" w14:textId="77777777" w:rsidR="009D317E" w:rsidRDefault="009D317E" w:rsidP="009D317E">
      <w:pPr>
        <w:pStyle w:val="NormalWeb"/>
        <w:spacing w:before="0" w:beforeAutospacing="0" w:after="0" w:afterAutospacing="0"/>
        <w:jc w:val="center"/>
      </w:pPr>
    </w:p>
    <w:p w14:paraId="057BB345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Overview</w:t>
      </w:r>
    </w:p>
    <w:p w14:paraId="759914E9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Alnylam is the industry leader in the translation of RNA interference (RNAi) into a new class of innovative medicines with the potential to address the unmet needs of patients with debilitating diseases. Founded in 2002, Alnylam was built upon a bold vision of turning scientific possibility into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reality, and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is now advancing a robust pipeline of investigational RNAi therapeutic medicines, including five programs in late-stage development. In 2018, Alnylam received approval for our first product, the first-ever RNAi therapeutic, by the FDA in the U.S. for the treatment of the polyneuropathy of hereditary transthyretin-mediated amyloidosis in adults and by the European Medicines Agency in the EU for the treatment of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hATTR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amyloidosis in adults with stage 1 or stage 2 polyneuropathy.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Headquartered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in Cambridge, Mass., Alnylam employs over 1,200 people in 18 countries and is rapidly growing globally, with additional offices in</w:t>
      </w:r>
    </w:p>
    <w:p w14:paraId="0CC42D5A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Norton, Mass., Maidenhead, U.K., Zug, Switzerland, Amsterdam, Netherlands, and Tokyo, Japan. Alnylam is proud to have been recognized as one of The Boston Globe’s Top Places to Work four years in a row (2015-2018) and a Great Place to Work in the U.K. and Switzerland in 2019. Please visit </w:t>
      </w:r>
      <w:hyperlink r:id="rId4" w:tgtFrame="_blank" w:history="1">
        <w:r>
          <w:rPr>
            <w:rStyle w:val="Hyperlink"/>
            <w:rFonts w:ascii="Calibri" w:eastAsiaTheme="majorEastAsia" w:hAnsi="Calibri" w:cs="Calibri"/>
            <w:sz w:val="22"/>
            <w:szCs w:val="22"/>
          </w:rPr>
          <w:t>www.alnylam.com</w:t>
        </w:r>
      </w:hyperlink>
      <w:r>
        <w:rPr>
          <w:rFonts w:ascii="Calibri" w:hAnsi="Calibri" w:cs="Calibri"/>
          <w:color w:val="000000"/>
          <w:sz w:val="22"/>
          <w:szCs w:val="22"/>
        </w:rPr>
        <w:t> for more information.</w:t>
      </w:r>
    </w:p>
    <w:p w14:paraId="5D0C8F2A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45DD244F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The Associate Director, Biostatistics </w:t>
      </w:r>
      <w:r>
        <w:rPr>
          <w:rFonts w:ascii="Calibri" w:hAnsi="Calibri" w:cs="Calibri"/>
          <w:color w:val="000000"/>
          <w:sz w:val="22"/>
          <w:szCs w:val="22"/>
        </w:rPr>
        <w:t xml:space="preserve">is responsible for statistical activities in support of clinical trials, including contributing to trial designs, authoring statistical sections of protocols, preparing statistical analysis plans, and reviewing and interpreting the analysis of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clinical trial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 data.</w:t>
      </w:r>
    </w:p>
    <w:p w14:paraId="4FC6D3AC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Summary of Key Responsibilities</w:t>
      </w:r>
    </w:p>
    <w:p w14:paraId="19B359AF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 xml:space="preserve">Represents biostatistics at cross-functional team meetings to drive clinical development of drug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candidate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and provides input on clinical development plans.</w:t>
      </w:r>
    </w:p>
    <w:p w14:paraId="10844D24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Collaborates with Clinical Development, Regulatory and Clinical Operations Expertise Areas to design clinical trials.</w:t>
      </w:r>
    </w:p>
    <w:p w14:paraId="3E902B41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Writes the statistical sections of clinical trial protocols, while consulting with internal and external experts.</w:t>
      </w:r>
    </w:p>
    <w:p w14:paraId="3BD839E6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Contributes to or prepares statistical analysis plans.</w:t>
      </w:r>
    </w:p>
    <w:p w14:paraId="71320BDC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Collaborates with Data Management, Clinical Development and Clinical Operations on design of eCRFs.</w:t>
      </w:r>
    </w:p>
    <w:p w14:paraId="27FDF8ED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Provides statistical guidance on conduct of ongoing trials.</w:t>
      </w:r>
    </w:p>
    <w:p w14:paraId="55435544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Collaborates with Statistical Programmers on summary and analysis of trial data.</w:t>
      </w:r>
    </w:p>
    <w:p w14:paraId="132B0240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Writes ADS and ad hoc analysis specifications.</w:t>
      </w:r>
    </w:p>
    <w:p w14:paraId="7401FDFB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Contributes to clinical study reports and other regulatory documents e.g. DSURs, Briefing Documents, etc.</w:t>
      </w:r>
    </w:p>
    <w:p w14:paraId="0B7970E3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Represents Alnylam in meetings with regulators, Key Opinion Leaders, partners, and</w:t>
      </w:r>
    </w:p>
    <w:p w14:paraId="4CEC5AC1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other stakeholders</w:t>
      </w:r>
    </w:p>
    <w:p w14:paraId="226270FC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Contributes to scientific articles, summarizing data collected in Alnylam trials.</w:t>
      </w:r>
    </w:p>
    <w:p w14:paraId="35954957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Participates in other activities and meetings to support Biostatistics and the</w:t>
      </w:r>
    </w:p>
    <w:p w14:paraId="3B2B679F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Development Team as needed.</w:t>
      </w:r>
    </w:p>
    <w:p w14:paraId="0B331083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Consults with Research &amp; Preclinical colleagues on statistical questions in their work.</w:t>
      </w:r>
    </w:p>
    <w:p w14:paraId="410D2B96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Manages CRO statistical and programming support.</w:t>
      </w:r>
    </w:p>
    <w:p w14:paraId="314DE399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Qualifications</w:t>
      </w:r>
    </w:p>
    <w:p w14:paraId="142130B6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Ph.D. in Biostatistics or Statistics or Equivalent with at least 7 years pharmaceutical biostatistics experience; or MS with at least 10 years relevant experience.</w:t>
      </w:r>
    </w:p>
    <w:p w14:paraId="58567E92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lastRenderedPageBreak/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Excellent written and oral communication and presentation skills.</w:t>
      </w:r>
    </w:p>
    <w:p w14:paraId="094299AF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Experience programming in SAS.</w:t>
      </w:r>
    </w:p>
    <w:p w14:paraId="5B0E7E9A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Interest in and basic understanding of biology and biological processes, including RNAi.</w:t>
      </w:r>
    </w:p>
    <w:p w14:paraId="561BC458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Desired Experience:</w:t>
      </w:r>
    </w:p>
    <w:p w14:paraId="02483B1D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Experience in clinical development through Phase 3 (NDA submission).</w:t>
      </w:r>
    </w:p>
    <w:p w14:paraId="28108487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Experience as lead statistician for a compound</w:t>
      </w:r>
    </w:p>
    <w:p w14:paraId="1CB90358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Understanding of ICH GCP as well as general knowledge of industry practices and standards.</w:t>
      </w:r>
    </w:p>
    <w:p w14:paraId="00C1F85A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Proficiency in R programming language and other statistical software, including EAST.</w:t>
      </w:r>
    </w:p>
    <w:p w14:paraId="2C613CB5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 xml:space="preserve">Experience with CDISC, including SDTM,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CDASH.</w:t>
      </w:r>
    </w:p>
    <w:p w14:paraId="2962C572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Experience in representing sponsors in meetings with interaction with US FDA and international regulatory authorities.</w:t>
      </w:r>
    </w:p>
    <w:p w14:paraId="4D3D75A6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Symbol" w:hAnsi="Symbol"/>
          <w:color w:val="000000"/>
          <w:sz w:val="20"/>
          <w:szCs w:val="20"/>
        </w:rPr>
        <w:t>·</w:t>
      </w:r>
      <w:r>
        <w:rPr>
          <w:color w:val="000000"/>
          <w:sz w:val="14"/>
          <w:szCs w:val="14"/>
        </w:rPr>
        <w:t>        </w:t>
      </w:r>
      <w:r>
        <w:rPr>
          <w:rFonts w:ascii="Calibri" w:hAnsi="Calibri" w:cs="Calibri"/>
          <w:color w:val="000000"/>
          <w:sz w:val="22"/>
          <w:szCs w:val="22"/>
        </w:rPr>
        <w:t>Experience designing and conducting adaptive trials.</w:t>
      </w:r>
    </w:p>
    <w:p w14:paraId="49D75196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6461B56A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Alnylam Pharmaceuticals is an EEO employer committed to an exciting, diverse, and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enriching</w:t>
      </w:r>
      <w:proofErr w:type="gramEnd"/>
    </w:p>
    <w:p w14:paraId="1379A01E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  <w:sz w:val="22"/>
          <w:szCs w:val="22"/>
        </w:rPr>
        <w:t>work environment.</w:t>
      </w:r>
    </w:p>
    <w:p w14:paraId="3C0054FF" w14:textId="77777777" w:rsidR="009D317E" w:rsidRDefault="009D317E" w:rsidP="009D317E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0"/>
          <w:szCs w:val="20"/>
        </w:rPr>
        <w:t> </w:t>
      </w:r>
    </w:p>
    <w:p w14:paraId="73C99A05" w14:textId="77777777" w:rsidR="009D317E" w:rsidRDefault="009D317E" w:rsidP="009D317E">
      <w:pPr>
        <w:pStyle w:val="NormalWeb"/>
        <w:spacing w:before="0" w:beforeAutospacing="0" w:after="0" w:afterAutospacing="0"/>
      </w:pPr>
    </w:p>
    <w:p w14:paraId="50D97719" w14:textId="77777777" w:rsidR="00314ABC" w:rsidRDefault="00314ABC"/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7E"/>
    <w:rsid w:val="001F2ECA"/>
    <w:rsid w:val="00314ABC"/>
    <w:rsid w:val="009D317E"/>
    <w:rsid w:val="009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5A983C"/>
  <w15:chartTrackingRefBased/>
  <w15:docId w15:val="{B6D46068-22A3-421B-9928-F42AACD8E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1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3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D317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D31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42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lnyla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2024-03-15T16:51:00Z</dcterms:created>
  <dcterms:modified xsi:type="dcterms:W3CDTF">2024-03-15T16:51:00Z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4ed0158d-401e-446e-bddb-a6f8d80f2325</vt:lpwstr>
  </property>
</Properties>
</file>