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B61121" w14:textId="77777777" w:rsidR="00A77C8B" w:rsidRDefault="00A77C8B" w:rsidP="00A77C8B"/>
    <w:p w14:paraId="7CBC1406" w14:textId="77777777" w:rsidR="00A77C8B" w:rsidRDefault="00A77C8B" w:rsidP="00A77C8B">
      <w:r>
        <w:t>## Market Growth and Financial Outlook</w:t>
      </w:r>
    </w:p>
    <w:p w14:paraId="56591FE4" w14:textId="77777777" w:rsidR="00A77C8B" w:rsidRDefault="00A77C8B" w:rsidP="00A77C8B"/>
    <w:p w14:paraId="34295574" w14:textId="77777777" w:rsidR="00A77C8B" w:rsidRDefault="00A77C8B" w:rsidP="00A77C8B">
      <w:r>
        <w:t xml:space="preserve">The biosimilar market reached $4 billion in 2022 and is projected to grow at a CAGR of over 9% through 2029[1]. Biotech funding shows promising signs of recovery, with 44% of healthcare professionals expressing optimism about funding recovery in the next 12 </w:t>
      </w:r>
      <w:proofErr w:type="gramStart"/>
      <w:r>
        <w:t>months[</w:t>
      </w:r>
      <w:proofErr w:type="gramEnd"/>
      <w:r>
        <w:t xml:space="preserve">13]. Drug developers raised an impressive $6.2 billion in equity capital markets in January 2024 </w:t>
      </w:r>
      <w:proofErr w:type="gramStart"/>
      <w:r>
        <w:t>alone[</w:t>
      </w:r>
      <w:proofErr w:type="gramEnd"/>
      <w:r>
        <w:t>4].</w:t>
      </w:r>
    </w:p>
    <w:p w14:paraId="30C02500" w14:textId="77777777" w:rsidR="00A77C8B" w:rsidRDefault="00A77C8B" w:rsidP="00A77C8B"/>
    <w:p w14:paraId="56582D04" w14:textId="77777777" w:rsidR="00A77C8B" w:rsidRDefault="00A77C8B" w:rsidP="00A77C8B">
      <w:r>
        <w:t>## IPO Activity and Investment Trends</w:t>
      </w:r>
    </w:p>
    <w:p w14:paraId="0FC3DF41" w14:textId="77777777" w:rsidR="00A77C8B" w:rsidRDefault="00A77C8B" w:rsidP="00A77C8B"/>
    <w:p w14:paraId="68586A32" w14:textId="77777777" w:rsidR="00A77C8B" w:rsidRDefault="00A77C8B" w:rsidP="00A77C8B">
      <w:r>
        <w:t xml:space="preserve">The IPO market has demonstrated strong performance, with the 30 largest IPOs of 2023 averaging a 25% return. Notably, </w:t>
      </w:r>
      <w:proofErr w:type="spellStart"/>
      <w:r>
        <w:t>biotechs</w:t>
      </w:r>
      <w:proofErr w:type="spellEnd"/>
      <w:r>
        <w:t xml:space="preserve"> comprise half of the top 10 best-performing sizeable </w:t>
      </w:r>
      <w:proofErr w:type="gramStart"/>
      <w:r>
        <w:t>IPOs[</w:t>
      </w:r>
      <w:proofErr w:type="gramEnd"/>
      <w:r>
        <w:t xml:space="preserve">6]. Medtech companies have seen significant venture capital funding growth, reaching $34 billion in 2021, with an average deal size of $25 </w:t>
      </w:r>
      <w:proofErr w:type="gramStart"/>
      <w:r>
        <w:t>million[</w:t>
      </w:r>
      <w:proofErr w:type="gramEnd"/>
      <w:r>
        <w:t>2].</w:t>
      </w:r>
    </w:p>
    <w:p w14:paraId="22EEF91A" w14:textId="77777777" w:rsidR="00A77C8B" w:rsidRDefault="00A77C8B" w:rsidP="00A77C8B"/>
    <w:p w14:paraId="44D7145D" w14:textId="77777777" w:rsidR="00A77C8B" w:rsidRDefault="00A77C8B" w:rsidP="00A77C8B">
      <w:r>
        <w:t>## Industry Restructuring and Workforce Impact</w:t>
      </w:r>
    </w:p>
    <w:p w14:paraId="0A351D4A" w14:textId="77777777" w:rsidR="00A77C8B" w:rsidRDefault="00A77C8B" w:rsidP="00A77C8B"/>
    <w:p w14:paraId="32B149C5" w14:textId="77777777" w:rsidR="00A77C8B" w:rsidRDefault="00A77C8B" w:rsidP="00A77C8B">
      <w:r>
        <w:t>The biotech sector faced substantial workforce changes in 2024:</w:t>
      </w:r>
    </w:p>
    <w:p w14:paraId="5667D2A5" w14:textId="77777777" w:rsidR="00A77C8B" w:rsidRDefault="00A77C8B" w:rsidP="00A77C8B">
      <w:r>
        <w:t>- Approximately 24,000 positions were cut through December 2024[7]</w:t>
      </w:r>
    </w:p>
    <w:p w14:paraId="6808FA1A" w14:textId="77777777" w:rsidR="00A77C8B" w:rsidRDefault="00A77C8B" w:rsidP="00A77C8B">
      <w:r>
        <w:t xml:space="preserve">- The pace of layoffs slowed in the second half of the </w:t>
      </w:r>
      <w:proofErr w:type="gramStart"/>
      <w:r>
        <w:t>year[</w:t>
      </w:r>
      <w:proofErr w:type="gramEnd"/>
      <w:r>
        <w:t>7]</w:t>
      </w:r>
    </w:p>
    <w:p w14:paraId="3B6FA272" w14:textId="77777777" w:rsidR="00A77C8B" w:rsidRDefault="00A77C8B" w:rsidP="00A77C8B">
      <w:r>
        <w:t xml:space="preserve">- Hardware and electronics manufacturers experienced the largest impact with over 26,800 </w:t>
      </w:r>
      <w:proofErr w:type="gramStart"/>
      <w:r>
        <w:t>layoffs[</w:t>
      </w:r>
      <w:proofErr w:type="gramEnd"/>
      <w:r>
        <w:t>9]</w:t>
      </w:r>
    </w:p>
    <w:p w14:paraId="44B7B193" w14:textId="77777777" w:rsidR="00A77C8B" w:rsidRDefault="00A77C8B" w:rsidP="00A77C8B"/>
    <w:p w14:paraId="56243D27" w14:textId="77777777" w:rsidR="00A77C8B" w:rsidRDefault="00A77C8B" w:rsidP="00A77C8B">
      <w:r>
        <w:t>## Diversity and Inclusion Progress</w:t>
      </w:r>
    </w:p>
    <w:p w14:paraId="474AD876" w14:textId="77777777" w:rsidR="00A77C8B" w:rsidRDefault="00A77C8B" w:rsidP="00A77C8B"/>
    <w:p w14:paraId="1D5EF1CC" w14:textId="77777777" w:rsidR="00A77C8B" w:rsidRDefault="00A77C8B" w:rsidP="00A77C8B">
      <w:r>
        <w:t>Recent industry data shows mixed progress in diversity efforts:</w:t>
      </w:r>
    </w:p>
    <w:p w14:paraId="5E6EEB29" w14:textId="77777777" w:rsidR="00A77C8B" w:rsidRDefault="00A77C8B" w:rsidP="00A77C8B"/>
    <w:p w14:paraId="60406BBE" w14:textId="77777777" w:rsidR="00A77C8B" w:rsidRDefault="00A77C8B" w:rsidP="00A77C8B">
      <w:r>
        <w:lastRenderedPageBreak/>
        <w:t>**Gender Representation**</w:t>
      </w:r>
    </w:p>
    <w:p w14:paraId="22724EC9" w14:textId="77777777" w:rsidR="00A77C8B" w:rsidRDefault="00A77C8B" w:rsidP="00A77C8B">
      <w:r>
        <w:t>- Women now comprise 52% of the overall biopharma workforce</w:t>
      </w:r>
    </w:p>
    <w:p w14:paraId="16454B0A" w14:textId="77777777" w:rsidR="00A77C8B" w:rsidRDefault="00A77C8B" w:rsidP="00A77C8B">
      <w:r>
        <w:t xml:space="preserve">- Female representation in executive management increased to 46%, up 9% from previous </w:t>
      </w:r>
      <w:proofErr w:type="gramStart"/>
      <w:r>
        <w:t>reports[</w:t>
      </w:r>
      <w:proofErr w:type="gramEnd"/>
      <w:r>
        <w:t>15]</w:t>
      </w:r>
    </w:p>
    <w:p w14:paraId="7B5C8630" w14:textId="77777777" w:rsidR="00A77C8B" w:rsidRDefault="00A77C8B" w:rsidP="00A77C8B"/>
    <w:p w14:paraId="2794CB30" w14:textId="77777777" w:rsidR="00A77C8B" w:rsidRDefault="00A77C8B" w:rsidP="00A77C8B">
      <w:r>
        <w:t>**Racial and Ethnic Diversity**</w:t>
      </w:r>
    </w:p>
    <w:p w14:paraId="1243ABB5" w14:textId="77777777" w:rsidR="00A77C8B" w:rsidRDefault="00A77C8B" w:rsidP="00A77C8B">
      <w:r>
        <w:t xml:space="preserve">- Only 14% of the biopharma workforce is Black, Hispanic/Latinx, or Native </w:t>
      </w:r>
      <w:proofErr w:type="gramStart"/>
      <w:r>
        <w:t>American[</w:t>
      </w:r>
      <w:proofErr w:type="gramEnd"/>
      <w:r>
        <w:t>15]</w:t>
      </w:r>
    </w:p>
    <w:p w14:paraId="491F0C3B" w14:textId="77777777" w:rsidR="00A77C8B" w:rsidRDefault="00A77C8B" w:rsidP="00A77C8B">
      <w:r>
        <w:t xml:space="preserve">- 75% of biopharma companies now have company-wide DEI </w:t>
      </w:r>
      <w:proofErr w:type="gramStart"/>
      <w:r>
        <w:t>statements[</w:t>
      </w:r>
      <w:proofErr w:type="gramEnd"/>
      <w:r>
        <w:t>15]</w:t>
      </w:r>
    </w:p>
    <w:p w14:paraId="4725063B" w14:textId="77777777" w:rsidR="00A77C8B" w:rsidRDefault="00A77C8B" w:rsidP="00A77C8B">
      <w:r>
        <w:t xml:space="preserve">- 50% of companies use diversity dashboards or scorecards, double the previous </w:t>
      </w:r>
      <w:proofErr w:type="gramStart"/>
      <w:r>
        <w:t>rate[</w:t>
      </w:r>
      <w:proofErr w:type="gramEnd"/>
      <w:r>
        <w:t>15]</w:t>
      </w:r>
    </w:p>
    <w:p w14:paraId="726CD441" w14:textId="77777777" w:rsidR="00A77C8B" w:rsidRDefault="00A77C8B" w:rsidP="00A77C8B"/>
    <w:p w14:paraId="5417C51D" w14:textId="77777777" w:rsidR="00A77C8B" w:rsidRDefault="00A77C8B" w:rsidP="00A77C8B">
      <w:r>
        <w:t>## Future Industry Trends</w:t>
      </w:r>
    </w:p>
    <w:p w14:paraId="2EF1BAFC" w14:textId="77777777" w:rsidR="00A77C8B" w:rsidRDefault="00A77C8B" w:rsidP="00A77C8B"/>
    <w:p w14:paraId="0A9F1A09" w14:textId="77777777" w:rsidR="00A77C8B" w:rsidRDefault="00A77C8B" w:rsidP="00A77C8B">
      <w:r>
        <w:t>Key trends expected to shape the industry include:</w:t>
      </w:r>
    </w:p>
    <w:p w14:paraId="14B67F7F" w14:textId="77777777" w:rsidR="00A77C8B" w:rsidRDefault="00A77C8B" w:rsidP="00A77C8B">
      <w:r>
        <w:t>- Anti-obesity medications</w:t>
      </w:r>
    </w:p>
    <w:p w14:paraId="3845F5C4" w14:textId="77777777" w:rsidR="00A77C8B" w:rsidRDefault="00A77C8B" w:rsidP="00A77C8B">
      <w:r>
        <w:t>- Personalized/precision medicine</w:t>
      </w:r>
    </w:p>
    <w:p w14:paraId="6EF236BE" w14:textId="77777777" w:rsidR="00A77C8B" w:rsidRDefault="00A77C8B" w:rsidP="00A77C8B">
      <w:r>
        <w:t>- Immuno-oncology drug development</w:t>
      </w:r>
    </w:p>
    <w:p w14:paraId="5D2B0F5B" w14:textId="77777777" w:rsidR="00A77C8B" w:rsidRDefault="00A77C8B" w:rsidP="00A77C8B">
      <w:r>
        <w:t>- Real-world evidence implementation</w:t>
      </w:r>
    </w:p>
    <w:p w14:paraId="57F90B78" w14:textId="77777777" w:rsidR="00A77C8B" w:rsidRDefault="00A77C8B" w:rsidP="00A77C8B">
      <w:r>
        <w:t xml:space="preserve">- Cell and gene </w:t>
      </w:r>
      <w:proofErr w:type="gramStart"/>
      <w:r>
        <w:t>therapies[</w:t>
      </w:r>
      <w:proofErr w:type="gramEnd"/>
      <w:r>
        <w:t>16]</w:t>
      </w:r>
    </w:p>
    <w:p w14:paraId="0839ECA3" w14:textId="77777777" w:rsidR="00A77C8B" w:rsidRDefault="00A77C8B" w:rsidP="00A77C8B"/>
    <w:p w14:paraId="3137EE3A" w14:textId="77777777" w:rsidR="00A77C8B" w:rsidRDefault="00A77C8B" w:rsidP="00A77C8B">
      <w:r>
        <w:t xml:space="preserve">The life sciences M&amp;A landscape shows promise for 2024, with pharmaceutical deal value reaching $130.6 billion in 2023, a 46% year-over-year </w:t>
      </w:r>
      <w:proofErr w:type="gramStart"/>
      <w:r>
        <w:t>increase[</w:t>
      </w:r>
      <w:proofErr w:type="gramEnd"/>
      <w:r>
        <w:t>14].</w:t>
      </w:r>
    </w:p>
    <w:p w14:paraId="49BAE5B6" w14:textId="77777777" w:rsidR="00A77C8B" w:rsidRDefault="00A77C8B" w:rsidP="00A77C8B"/>
    <w:p w14:paraId="220B4B44" w14:textId="77777777" w:rsidR="00A77C8B" w:rsidRDefault="00A77C8B" w:rsidP="00A77C8B">
      <w:r>
        <w:t>Citations:</w:t>
      </w:r>
    </w:p>
    <w:p w14:paraId="26532282" w14:textId="77777777" w:rsidR="00A77C8B" w:rsidRDefault="00A77C8B" w:rsidP="00A77C8B">
      <w:r>
        <w:t>[1] https://www.globaldata.com/store/report/biosimilars-in-oncology-theme-analysis/</w:t>
      </w:r>
    </w:p>
    <w:p w14:paraId="5E5F8E8C" w14:textId="77777777" w:rsidR="00A77C8B" w:rsidRDefault="00A77C8B" w:rsidP="00A77C8B">
      <w:r>
        <w:t>[2] https://www2.deloitte.com/content/dam/Deloitte/us/Documents/life-sciences-health-care/new-strategies-for-medtech-startups.pdf</w:t>
      </w:r>
    </w:p>
    <w:p w14:paraId="12EC68FA" w14:textId="77777777" w:rsidR="00A77C8B" w:rsidRDefault="00A77C8B" w:rsidP="00A77C8B">
      <w:r>
        <w:lastRenderedPageBreak/>
        <w:t>[3] https://www.pharmaceutical-technology.com/features/investors-optimistic-about-continued-biotech-and-medtech-ipo-resurgence-in-2025/</w:t>
      </w:r>
    </w:p>
    <w:p w14:paraId="128409AD" w14:textId="77777777" w:rsidR="00A77C8B" w:rsidRDefault="00A77C8B" w:rsidP="00A77C8B">
      <w:r>
        <w:t>[4] https://www.nasdaq.com/articles/promising-road-to-recovery-for-the-biotech-sector</w:t>
      </w:r>
    </w:p>
    <w:p w14:paraId="6E73F6EE" w14:textId="77777777" w:rsidR="00A77C8B" w:rsidRDefault="00A77C8B" w:rsidP="00A77C8B">
      <w:r>
        <w:t>[5] https://www.fiercebiotech.com/biotech/acelyrin-fails-late-phase-clinical-trial-months-after-540m-ipo-sending-stock-hurtling</w:t>
      </w:r>
    </w:p>
    <w:p w14:paraId="71D4F46E" w14:textId="77777777" w:rsidR="00A77C8B" w:rsidRDefault="00A77C8B" w:rsidP="00A77C8B">
      <w:r>
        <w:t>[6] https://www.renaissancecapital.com/IPO-Center/News/102828/Heres-what-the-top-performing-IPOs-of-2023-tell-us-about-2024</w:t>
      </w:r>
    </w:p>
    <w:p w14:paraId="11B2166D" w14:textId="77777777" w:rsidR="00A77C8B" w:rsidRDefault="00A77C8B" w:rsidP="00A77C8B">
      <w:r>
        <w:t>[7] https://www.biospace.com/job-trends/the-5-largest-biopharma-layoffs-of-2024</w:t>
      </w:r>
    </w:p>
    <w:p w14:paraId="78130DD0" w14:textId="77777777" w:rsidR="00A77C8B" w:rsidRDefault="00A77C8B" w:rsidP="00A77C8B">
      <w:r>
        <w:t>[8] https://www.biospace.com/job-trends/layoffs-continued-across-biopharma-in-2024</w:t>
      </w:r>
    </w:p>
    <w:p w14:paraId="0E05E9F0" w14:textId="77777777" w:rsidR="00A77C8B" w:rsidRDefault="00A77C8B" w:rsidP="00A77C8B">
      <w:r>
        <w:t>[9] https://www.rdworldonline.com/100-of-the-largest-tech-telecom-and-innovation-sector-layoffs-of-2024/</w:t>
      </w:r>
    </w:p>
    <w:p w14:paraId="13EC5BF4" w14:textId="77777777" w:rsidR="00A77C8B" w:rsidRDefault="00A77C8B" w:rsidP="00A77C8B">
      <w:r>
        <w:t>[10] https://www.zippia.com/biotechnologist-jobs/demographics/</w:t>
      </w:r>
    </w:p>
    <w:p w14:paraId="6D906938" w14:textId="77777777" w:rsidR="00A77C8B" w:rsidRDefault="00A77C8B" w:rsidP="00A77C8B">
      <w:r>
        <w:t>[11] https://www.bio.org/press-release/more-8-10-biotech-companies-rate-dei-important-area-strategic-focus-according-new</w:t>
      </w:r>
    </w:p>
    <w:p w14:paraId="5821716B" w14:textId="77777777" w:rsidR="00A77C8B" w:rsidRDefault="00A77C8B" w:rsidP="00A77C8B">
      <w:r>
        <w:t>[12] https://bio.news/diversity-equity-inclusion/bio-dei-report-diversity-equity-inclusion-international-convention-2024/</w:t>
      </w:r>
    </w:p>
    <w:p w14:paraId="1608FB41" w14:textId="77777777" w:rsidR="00A77C8B" w:rsidRDefault="00A77C8B" w:rsidP="00A77C8B">
      <w:r>
        <w:t>[13] https://www.globaldata.com/media/business-fundamentals/biotech-funding-set-for-recovery-in-2024-reveals-globaldata/</w:t>
      </w:r>
    </w:p>
    <w:p w14:paraId="719B96DF" w14:textId="77777777" w:rsidR="00A77C8B" w:rsidRDefault="00A77C8B" w:rsidP="00A77C8B">
      <w:r>
        <w:t>[14] https://www2.deloitte.com/content/dam/Deloitte/us/Documents/mergers-acqisitions/us-mars-lshc-bi-annual-report-2024-final.pdf</w:t>
      </w:r>
    </w:p>
    <w:p w14:paraId="78F7D3EE" w14:textId="77777777" w:rsidR="00A77C8B" w:rsidRDefault="00A77C8B" w:rsidP="00A77C8B">
      <w:r>
        <w:t>[15] https://www.massbio.org/news/recent-news/massbio-state-of-racial-ethnic-and-gender-diversity-report-shows-more-women-in-leadership-roles-bipoc-remain-underrepresented-across-industry/</w:t>
      </w:r>
    </w:p>
    <w:p w14:paraId="2C23A440" w14:textId="09E55893" w:rsidR="002B7C04" w:rsidRDefault="00A77C8B" w:rsidP="00A77C8B">
      <w:r>
        <w:t xml:space="preserve">[16] </w:t>
      </w:r>
      <w:hyperlink r:id="rId4" w:history="1">
        <w:r w:rsidRPr="00121CFF">
          <w:rPr>
            <w:rStyle w:val="Hyperlink"/>
          </w:rPr>
          <w:t>https://www.globaldata.com/store/report/state-of-biopharmaceutical-industry-analysis/</w:t>
        </w:r>
      </w:hyperlink>
    </w:p>
    <w:p w14:paraId="732D11D9" w14:textId="77777777" w:rsidR="00A77C8B" w:rsidRDefault="00A77C8B" w:rsidP="00A77C8B"/>
    <w:p w14:paraId="2D5A8CA1" w14:textId="77777777" w:rsidR="00A77C8B" w:rsidRDefault="00A77C8B" w:rsidP="00A77C8B">
      <w:r>
        <w:t>Based on the search results, I'll provide a comprehensive analysis of the key trends in biotech workforce and leadership development:</w:t>
      </w:r>
    </w:p>
    <w:p w14:paraId="05D1C300" w14:textId="77777777" w:rsidR="00A77C8B" w:rsidRDefault="00A77C8B" w:rsidP="00A77C8B"/>
    <w:p w14:paraId="5B32878D" w14:textId="77777777" w:rsidR="00A77C8B" w:rsidRDefault="00A77C8B" w:rsidP="00A77C8B">
      <w:r>
        <w:t>## Remote Work Impact in Biotech</w:t>
      </w:r>
    </w:p>
    <w:p w14:paraId="3C872109" w14:textId="77777777" w:rsidR="00A77C8B" w:rsidRDefault="00A77C8B" w:rsidP="00A77C8B"/>
    <w:p w14:paraId="270B36EE" w14:textId="77777777" w:rsidR="00A77C8B" w:rsidRDefault="00A77C8B" w:rsidP="00A77C8B">
      <w:r>
        <w:t xml:space="preserve">The biotech industry has evolved to embrace a nuanced approach to remote work. While laboratory activities require physical presence, many roles have successfully transitioned to hybrid </w:t>
      </w:r>
      <w:proofErr w:type="gramStart"/>
      <w:r>
        <w:t>models[</w:t>
      </w:r>
      <w:proofErr w:type="gramEnd"/>
      <w:r>
        <w:t xml:space="preserve">3]. Recent data shows that 90% of employees report being as productive or more productive in their current work </w:t>
      </w:r>
      <w:proofErr w:type="gramStart"/>
      <w:r>
        <w:t>arrangement[</w:t>
      </w:r>
      <w:proofErr w:type="gramEnd"/>
      <w:r>
        <w:t>11].</w:t>
      </w:r>
    </w:p>
    <w:p w14:paraId="74470812" w14:textId="77777777" w:rsidR="00A77C8B" w:rsidRDefault="00A77C8B" w:rsidP="00A77C8B"/>
    <w:p w14:paraId="640DA2E8" w14:textId="77777777" w:rsidR="00A77C8B" w:rsidRDefault="00A77C8B" w:rsidP="00A77C8B">
      <w:r>
        <w:t>**Gender Differences in Remote Productivity**</w:t>
      </w:r>
    </w:p>
    <w:p w14:paraId="7A2F8E98" w14:textId="77777777" w:rsidR="00A77C8B" w:rsidRDefault="00A77C8B" w:rsidP="00A77C8B">
      <w:r>
        <w:t>- 40% of women report higher productivity in remote settings</w:t>
      </w:r>
    </w:p>
    <w:p w14:paraId="0D7E6824" w14:textId="77777777" w:rsidR="00A77C8B" w:rsidRDefault="00A77C8B" w:rsidP="00A77C8B">
      <w:r>
        <w:t>- 35% of men experience increased productivity when working remotely</w:t>
      </w:r>
    </w:p>
    <w:p w14:paraId="456DD790" w14:textId="77777777" w:rsidR="00A77C8B" w:rsidRDefault="00A77C8B" w:rsidP="00A77C8B">
      <w:r>
        <w:t xml:space="preserve">- 80% of men support return-to-office mandates, compared to only 47% of </w:t>
      </w:r>
      <w:proofErr w:type="gramStart"/>
      <w:r>
        <w:t>women[</w:t>
      </w:r>
      <w:proofErr w:type="gramEnd"/>
      <w:r>
        <w:t>11]</w:t>
      </w:r>
    </w:p>
    <w:p w14:paraId="21F388C7" w14:textId="77777777" w:rsidR="00A77C8B" w:rsidRDefault="00A77C8B" w:rsidP="00A77C8B"/>
    <w:p w14:paraId="16D30F7D" w14:textId="77777777" w:rsidR="00A77C8B" w:rsidRDefault="00A77C8B" w:rsidP="00A77C8B">
      <w:r>
        <w:t>## Leadership Development ROI</w:t>
      </w:r>
    </w:p>
    <w:p w14:paraId="3A05F60B" w14:textId="77777777" w:rsidR="00A77C8B" w:rsidRDefault="00A77C8B" w:rsidP="00A77C8B"/>
    <w:p w14:paraId="11BCD05A" w14:textId="77777777" w:rsidR="00A77C8B" w:rsidRDefault="00A77C8B" w:rsidP="00A77C8B">
      <w:r>
        <w:t>Investment in leadership development shows remarkable returns:</w:t>
      </w:r>
    </w:p>
    <w:p w14:paraId="1391C3B2" w14:textId="77777777" w:rsidR="00A77C8B" w:rsidRDefault="00A77C8B" w:rsidP="00A77C8B">
      <w:r>
        <w:t>- Companies achieve a $7 return for every $1 spent on leadership development</w:t>
      </w:r>
    </w:p>
    <w:p w14:paraId="5A0D4394" w14:textId="77777777" w:rsidR="00A77C8B" w:rsidRDefault="00A77C8B" w:rsidP="00A77C8B">
      <w:r>
        <w:t>- 84% of organizations maintain leadership development as a priority even during economic downturns</w:t>
      </w:r>
    </w:p>
    <w:p w14:paraId="49E65C48" w14:textId="77777777" w:rsidR="00A77C8B" w:rsidRDefault="00A77C8B" w:rsidP="00A77C8B">
      <w:r>
        <w:t xml:space="preserve">- 99% plan to maintain or increase leadership development </w:t>
      </w:r>
      <w:proofErr w:type="gramStart"/>
      <w:r>
        <w:t>spending[</w:t>
      </w:r>
      <w:proofErr w:type="gramEnd"/>
      <w:r>
        <w:t>6]</w:t>
      </w:r>
    </w:p>
    <w:p w14:paraId="256F15FE" w14:textId="77777777" w:rsidR="00A77C8B" w:rsidRDefault="00A77C8B" w:rsidP="00A77C8B"/>
    <w:p w14:paraId="31AB70F7" w14:textId="77777777" w:rsidR="00A77C8B" w:rsidRDefault="00A77C8B" w:rsidP="00A77C8B">
      <w:r>
        <w:t>## Fractional Leadership Trends</w:t>
      </w:r>
    </w:p>
    <w:p w14:paraId="19197658" w14:textId="77777777" w:rsidR="00A77C8B" w:rsidRDefault="00A77C8B" w:rsidP="00A77C8B"/>
    <w:p w14:paraId="00DDD3CE" w14:textId="77777777" w:rsidR="00A77C8B" w:rsidRDefault="00A77C8B" w:rsidP="00A77C8B">
      <w:r>
        <w:t>The biotech sector has seen a significant surge in fractional leadership roles:</w:t>
      </w:r>
    </w:p>
    <w:p w14:paraId="59134466" w14:textId="77777777" w:rsidR="00A77C8B" w:rsidRDefault="00A77C8B" w:rsidP="00A77C8B">
      <w:r>
        <w:t>- Growth from 2,000 to 110,000 fractional leaders between 2022 and early 2024</w:t>
      </w:r>
    </w:p>
    <w:p w14:paraId="5333F098" w14:textId="77777777" w:rsidR="00A77C8B" w:rsidRDefault="00A77C8B" w:rsidP="00A77C8B">
      <w:r>
        <w:t>- Approximately 1,000 biotech and pharma professionals currently list fractional work experience</w:t>
      </w:r>
    </w:p>
    <w:p w14:paraId="0AA1DFF9" w14:textId="77777777" w:rsidR="00A77C8B" w:rsidRDefault="00A77C8B" w:rsidP="00A77C8B">
      <w:r>
        <w:t xml:space="preserve">- Most common roles include CMO, CTO, and COO </w:t>
      </w:r>
      <w:proofErr w:type="gramStart"/>
      <w:r>
        <w:t>positions[</w:t>
      </w:r>
      <w:proofErr w:type="gramEnd"/>
      <w:r>
        <w:t>13]</w:t>
      </w:r>
    </w:p>
    <w:p w14:paraId="7F1A0462" w14:textId="77777777" w:rsidR="00A77C8B" w:rsidRDefault="00A77C8B" w:rsidP="00A77C8B"/>
    <w:p w14:paraId="242714E5" w14:textId="77777777" w:rsidR="00A77C8B" w:rsidRDefault="00A77C8B" w:rsidP="00A77C8B">
      <w:r>
        <w:lastRenderedPageBreak/>
        <w:t>## AI and Computational Biology Market Growth</w:t>
      </w:r>
    </w:p>
    <w:p w14:paraId="0A59613F" w14:textId="77777777" w:rsidR="00A77C8B" w:rsidRDefault="00A77C8B" w:rsidP="00A77C8B"/>
    <w:p w14:paraId="21F46F60" w14:textId="77777777" w:rsidR="00A77C8B" w:rsidRDefault="00A77C8B" w:rsidP="00A77C8B">
      <w:r>
        <w:t>The market shows explosive growth potential:</w:t>
      </w:r>
    </w:p>
    <w:p w14:paraId="39618646" w14:textId="77777777" w:rsidR="00A77C8B" w:rsidRDefault="00A77C8B" w:rsidP="00A77C8B">
      <w:r>
        <w:t>- Computational biology market valued at $7.69 billion in 2023</w:t>
      </w:r>
    </w:p>
    <w:p w14:paraId="6D690172" w14:textId="77777777" w:rsidR="00A77C8B" w:rsidRDefault="00A77C8B" w:rsidP="00A77C8B">
      <w:r>
        <w:t>- Projected to reach $39.38 billion by 2032</w:t>
      </w:r>
    </w:p>
    <w:p w14:paraId="70696055" w14:textId="77777777" w:rsidR="00A77C8B" w:rsidRDefault="00A77C8B" w:rsidP="00A77C8B">
      <w:r>
        <w:t xml:space="preserve">- CAGR of 19.9% over the forecast </w:t>
      </w:r>
      <w:proofErr w:type="gramStart"/>
      <w:r>
        <w:t>period[</w:t>
      </w:r>
      <w:proofErr w:type="gramEnd"/>
      <w:r>
        <w:t>8]</w:t>
      </w:r>
    </w:p>
    <w:p w14:paraId="15A188B4" w14:textId="77777777" w:rsidR="00A77C8B" w:rsidRDefault="00A77C8B" w:rsidP="00A77C8B"/>
    <w:p w14:paraId="7106238D" w14:textId="77777777" w:rsidR="00A77C8B" w:rsidRDefault="00A77C8B" w:rsidP="00A77C8B">
      <w:r>
        <w:t>**AI in Biotechnology**</w:t>
      </w:r>
    </w:p>
    <w:p w14:paraId="138EC0FA" w14:textId="77777777" w:rsidR="00A77C8B" w:rsidRDefault="00A77C8B" w:rsidP="00A77C8B">
      <w:r>
        <w:t>- Current market size: $4.70 billion (2024)</w:t>
      </w:r>
    </w:p>
    <w:p w14:paraId="668DE7E5" w14:textId="77777777" w:rsidR="00A77C8B" w:rsidRDefault="00A77C8B" w:rsidP="00A77C8B">
      <w:r>
        <w:t>- Expected to reach $27.43 billion by 2034</w:t>
      </w:r>
    </w:p>
    <w:p w14:paraId="6D063B6B" w14:textId="77777777" w:rsidR="00A77C8B" w:rsidRDefault="00A77C8B" w:rsidP="00A77C8B">
      <w:r>
        <w:t>- CAGR of 19.29% from 2024 to 2034[9]</w:t>
      </w:r>
    </w:p>
    <w:p w14:paraId="2322620C" w14:textId="77777777" w:rsidR="00A77C8B" w:rsidRDefault="00A77C8B" w:rsidP="00A77C8B"/>
    <w:p w14:paraId="791828AB" w14:textId="77777777" w:rsidR="00A77C8B" w:rsidRDefault="00A77C8B" w:rsidP="00A77C8B">
      <w:r>
        <w:t>## Success Stories and Implementation</w:t>
      </w:r>
    </w:p>
    <w:p w14:paraId="2EDD1ECF" w14:textId="77777777" w:rsidR="00A77C8B" w:rsidRDefault="00A77C8B" w:rsidP="00A77C8B"/>
    <w:p w14:paraId="73F3BA3F" w14:textId="77777777" w:rsidR="00A77C8B" w:rsidRDefault="00A77C8B" w:rsidP="00A77C8B">
      <w:proofErr w:type="spellStart"/>
      <w:r>
        <w:t>Insilico</w:t>
      </w:r>
      <w:proofErr w:type="spellEnd"/>
      <w:r>
        <w:t xml:space="preserve"> Medicine exemplifies AI implementation success:</w:t>
      </w:r>
    </w:p>
    <w:p w14:paraId="683CF4ED" w14:textId="77777777" w:rsidR="00A77C8B" w:rsidRDefault="00A77C8B" w:rsidP="00A77C8B">
      <w:r>
        <w:t>- Developed five successful compounds</w:t>
      </w:r>
    </w:p>
    <w:p w14:paraId="058D13A0" w14:textId="77777777" w:rsidR="00A77C8B" w:rsidRDefault="00A77C8B" w:rsidP="00A77C8B">
      <w:r>
        <w:t>- Currently testing ISM5411 for Inflammatory Bowel Disease in Phase I trials</w:t>
      </w:r>
    </w:p>
    <w:p w14:paraId="10368757" w14:textId="77777777" w:rsidR="00A77C8B" w:rsidRDefault="00A77C8B" w:rsidP="00A77C8B">
      <w:r>
        <w:t xml:space="preserve">- Potential to be the first non-immunosuppressive IBD </w:t>
      </w:r>
      <w:proofErr w:type="gramStart"/>
      <w:r>
        <w:t>treatment[</w:t>
      </w:r>
      <w:proofErr w:type="gramEnd"/>
      <w:r>
        <w:t>10]</w:t>
      </w:r>
    </w:p>
    <w:p w14:paraId="16F2E083" w14:textId="77777777" w:rsidR="00A77C8B" w:rsidRDefault="00A77C8B" w:rsidP="00A77C8B"/>
    <w:p w14:paraId="7E9BB523" w14:textId="77777777" w:rsidR="00A77C8B" w:rsidRDefault="00A77C8B" w:rsidP="00A77C8B">
      <w:r>
        <w:t>## Productivity Impact Analysis</w:t>
      </w:r>
    </w:p>
    <w:p w14:paraId="3680FEB8" w14:textId="77777777" w:rsidR="00A77C8B" w:rsidRDefault="00A77C8B" w:rsidP="00A77C8B"/>
    <w:p w14:paraId="0DB8AE31" w14:textId="77777777" w:rsidR="00A77C8B" w:rsidRDefault="00A77C8B" w:rsidP="00A77C8B">
      <w:r>
        <w:t>A comprehensive study across 61 industries revealed:</w:t>
      </w:r>
    </w:p>
    <w:p w14:paraId="00FF3D03" w14:textId="77777777" w:rsidR="00A77C8B" w:rsidRDefault="00A77C8B" w:rsidP="00A77C8B">
      <w:r>
        <w:t>- 14.9 percentage point increase in remote workers (2019-2021)</w:t>
      </w:r>
    </w:p>
    <w:p w14:paraId="5AD439D6" w14:textId="77777777" w:rsidR="00A77C8B" w:rsidRDefault="00A77C8B" w:rsidP="00A77C8B">
      <w:r>
        <w:t>- 1.2 percentage point increase in industry-level Total Factor Productivity</w:t>
      </w:r>
    </w:p>
    <w:p w14:paraId="1ABBA4DB" w14:textId="77777777" w:rsidR="00A77C8B" w:rsidRDefault="00A77C8B" w:rsidP="00A77C8B">
      <w:r>
        <w:t xml:space="preserve">- Remote work contributed substantially to overall productivity growth during the </w:t>
      </w:r>
      <w:proofErr w:type="gramStart"/>
      <w:r>
        <w:t>pandemic[</w:t>
      </w:r>
      <w:proofErr w:type="gramEnd"/>
      <w:r>
        <w:t>15]</w:t>
      </w:r>
    </w:p>
    <w:p w14:paraId="2BB029E5" w14:textId="77777777" w:rsidR="00A77C8B" w:rsidRDefault="00A77C8B" w:rsidP="00A77C8B"/>
    <w:p w14:paraId="204402D8" w14:textId="77777777" w:rsidR="00A77C8B" w:rsidRDefault="00A77C8B" w:rsidP="00A77C8B">
      <w:r>
        <w:t>Citations:</w:t>
      </w:r>
    </w:p>
    <w:p w14:paraId="6C2DEB56" w14:textId="77777777" w:rsidR="00A77C8B" w:rsidRDefault="00A77C8B" w:rsidP="00A77C8B">
      <w:r>
        <w:t>[1] https://pmc.ncbi.nlm.nih.gov/articles/PMC9690707/</w:t>
      </w:r>
    </w:p>
    <w:p w14:paraId="38AA3E66" w14:textId="77777777" w:rsidR="00A77C8B" w:rsidRDefault="00A77C8B" w:rsidP="00A77C8B">
      <w:r>
        <w:t>[2] https://www.linkedin.com/pulse/remote-hybrid-in-office-evaluating-work-models-pharma-bryan-blair-qwp7e</w:t>
      </w:r>
    </w:p>
    <w:p w14:paraId="7628A824" w14:textId="77777777" w:rsidR="00A77C8B" w:rsidRDefault="00A77C8B" w:rsidP="00A77C8B">
      <w:r>
        <w:t>[3] https://timmermanreport.com/2023/01/biotech-needs-to-get-back-to-work-in-person-now/</w:t>
      </w:r>
    </w:p>
    <w:p w14:paraId="10C76C29" w14:textId="77777777" w:rsidR="00A77C8B" w:rsidRDefault="00A77C8B" w:rsidP="00A77C8B">
      <w:r>
        <w:t>[4] https://www.alacrita.com/blog/how-fractional-cmos-propel-biotech-success</w:t>
      </w:r>
    </w:p>
    <w:p w14:paraId="4D8D16C4" w14:textId="77777777" w:rsidR="00A77C8B" w:rsidRDefault="00A77C8B" w:rsidP="00A77C8B">
      <w:r>
        <w:t>[5] https://www.cambridgemc.com/the-power-of-fractional-leadership-for-scaling-startups</w:t>
      </w:r>
    </w:p>
    <w:p w14:paraId="38AF4E0C" w14:textId="77777777" w:rsidR="00A77C8B" w:rsidRDefault="00A77C8B" w:rsidP="00A77C8B">
      <w:r>
        <w:t>[6] https://www.prnewswire.com/news-releases/study-finds-corporate-leadership-development-programs-have-a-return-on-investment-of-7-for-every-1-spent-301934625.html</w:t>
      </w:r>
    </w:p>
    <w:p w14:paraId="3851EAF7" w14:textId="77777777" w:rsidR="00A77C8B" w:rsidRDefault="00A77C8B" w:rsidP="00A77C8B">
      <w:r>
        <w:t>[7] https://fierceinc.com/industry-focus/biotech-leadership-development-training/</w:t>
      </w:r>
    </w:p>
    <w:p w14:paraId="39AFDFF2" w14:textId="77777777" w:rsidR="00A77C8B" w:rsidRDefault="00A77C8B" w:rsidP="00A77C8B">
      <w:r>
        <w:t>[8] https://straitsresearch.com/report/computational-biology-market</w:t>
      </w:r>
    </w:p>
    <w:p w14:paraId="2B2F1511" w14:textId="77777777" w:rsidR="00A77C8B" w:rsidRDefault="00A77C8B" w:rsidP="00A77C8B">
      <w:r>
        <w:t>[9] https://www.precedenceresearch.com/artificial-intelligence-in-biotechnology-market</w:t>
      </w:r>
    </w:p>
    <w:p w14:paraId="4847F1F6" w14:textId="77777777" w:rsidR="00A77C8B" w:rsidRDefault="00A77C8B" w:rsidP="00A77C8B">
      <w:r>
        <w:t>[10] https://www.netguru.com/blog/ai-use-cases-in-life-sciences</w:t>
      </w:r>
    </w:p>
    <w:p w14:paraId="0B1A3A78" w14:textId="77777777" w:rsidR="00A77C8B" w:rsidRDefault="00A77C8B" w:rsidP="00A77C8B">
      <w:r>
        <w:t>[11] https://pumble.com/learn/collaboration/remote-work-statistics/</w:t>
      </w:r>
    </w:p>
    <w:p w14:paraId="0841C7BE" w14:textId="77777777" w:rsidR="00A77C8B" w:rsidRDefault="00A77C8B" w:rsidP="00A77C8B">
      <w:r>
        <w:t>[12] https://blog.onqrecruitment.com.au/blog/return-to-office-hybrid-model-life-sciences/</w:t>
      </w:r>
    </w:p>
    <w:p w14:paraId="5E9875B3" w14:textId="77777777" w:rsidR="00A77C8B" w:rsidRDefault="00A77C8B" w:rsidP="00A77C8B">
      <w:r>
        <w:t>[13] https://www.biospace.com/job-trends/difficult-market-turns-more-biopharma-leaders-to-fractional-roles-say-experts</w:t>
      </w:r>
    </w:p>
    <w:p w14:paraId="19E83E47" w14:textId="77777777" w:rsidR="00A77C8B" w:rsidRDefault="00A77C8B" w:rsidP="00A77C8B">
      <w:r>
        <w:t>[14] https://digitaldefynd.com/IQ/ai-in-pharmaceutical-industry/</w:t>
      </w:r>
    </w:p>
    <w:p w14:paraId="696C13BD" w14:textId="4A4B338B" w:rsidR="00A77C8B" w:rsidRDefault="00A77C8B" w:rsidP="00A77C8B">
      <w:r>
        <w:t xml:space="preserve">[15] </w:t>
      </w:r>
      <w:hyperlink r:id="rId5" w:history="1">
        <w:r w:rsidRPr="00121CFF">
          <w:rPr>
            <w:rStyle w:val="Hyperlink"/>
          </w:rPr>
          <w:t>https://www.bls.gov/opub/btn/volume-13/remote-work-productivity.htm</w:t>
        </w:r>
      </w:hyperlink>
    </w:p>
    <w:p w14:paraId="0E13E75F" w14:textId="77777777" w:rsidR="00A77C8B" w:rsidRDefault="00A77C8B" w:rsidP="00A77C8B">
      <w:r>
        <w:t>## Ethical and Regulatory Landscape in Biotech Talent Acquisition</w:t>
      </w:r>
    </w:p>
    <w:p w14:paraId="2C9FE16F" w14:textId="77777777" w:rsidR="00A77C8B" w:rsidRDefault="00A77C8B" w:rsidP="00A77C8B"/>
    <w:p w14:paraId="0C982277" w14:textId="77777777" w:rsidR="00A77C8B" w:rsidRDefault="00A77C8B" w:rsidP="00A77C8B">
      <w:r>
        <w:t xml:space="preserve">The biotech industry faces unique ethical and regulatory challenges that directly impact talent acquisition strategies. The median timeline from research initiation to FDA approval spans 36 years, with 25 years dedicated to technological </w:t>
      </w:r>
      <w:proofErr w:type="gramStart"/>
      <w:r>
        <w:t>maturation[</w:t>
      </w:r>
      <w:proofErr w:type="gramEnd"/>
      <w:r>
        <w:t>2]. This extended timeline necessitates careful consideration in hiring decisions and talent development.</w:t>
      </w:r>
    </w:p>
    <w:p w14:paraId="436ED91E" w14:textId="77777777" w:rsidR="00A77C8B" w:rsidRDefault="00A77C8B" w:rsidP="00A77C8B"/>
    <w:p w14:paraId="0E8C1BFC" w14:textId="77777777" w:rsidR="00A77C8B" w:rsidRDefault="00A77C8B" w:rsidP="00A77C8B">
      <w:r>
        <w:t>## Clinical Development Timelines</w:t>
      </w:r>
    </w:p>
    <w:p w14:paraId="301A3BFC" w14:textId="77777777" w:rsidR="00A77C8B" w:rsidRDefault="00A77C8B" w:rsidP="00A77C8B"/>
    <w:p w14:paraId="797BF72E" w14:textId="77777777" w:rsidR="00A77C8B" w:rsidRDefault="00A77C8B" w:rsidP="00A77C8B">
      <w:r>
        <w:t>**Key Milestones**:</w:t>
      </w:r>
    </w:p>
    <w:p w14:paraId="23C6883D" w14:textId="77777777" w:rsidR="00A77C8B" w:rsidRDefault="00A77C8B" w:rsidP="00A77C8B">
      <w:r>
        <w:t>- 8 years average for clinical development after established research</w:t>
      </w:r>
    </w:p>
    <w:p w14:paraId="12654EA0" w14:textId="77777777" w:rsidR="00A77C8B" w:rsidRDefault="00A77C8B" w:rsidP="00A77C8B">
      <w:r>
        <w:t>- 11.5 years when clinical trials begin before research maturity</w:t>
      </w:r>
    </w:p>
    <w:p w14:paraId="53860805" w14:textId="77777777" w:rsidR="00A77C8B" w:rsidRDefault="00A77C8B" w:rsidP="00A77C8B">
      <w:r>
        <w:t xml:space="preserve">- 3-year acceleration possible with optimal </w:t>
      </w:r>
      <w:proofErr w:type="gramStart"/>
      <w:r>
        <w:t>timing[</w:t>
      </w:r>
      <w:proofErr w:type="gramEnd"/>
      <w:r>
        <w:t>2]</w:t>
      </w:r>
    </w:p>
    <w:p w14:paraId="57EE94FC" w14:textId="77777777" w:rsidR="00A77C8B" w:rsidRDefault="00A77C8B" w:rsidP="00A77C8B"/>
    <w:p w14:paraId="76D67A56" w14:textId="77777777" w:rsidR="00A77C8B" w:rsidRDefault="00A77C8B" w:rsidP="00A77C8B">
      <w:r>
        <w:t>## Ethical Decision-Making Framework</w:t>
      </w:r>
    </w:p>
    <w:p w14:paraId="1D201993" w14:textId="77777777" w:rsidR="00A77C8B" w:rsidRDefault="00A77C8B" w:rsidP="00A77C8B"/>
    <w:p w14:paraId="7381D844" w14:textId="77777777" w:rsidR="00A77C8B" w:rsidRDefault="00A77C8B" w:rsidP="00A77C8B">
      <w:r>
        <w:t xml:space="preserve">Biotech organizations must implement structured approaches to ethical decision-making, particularly in R&amp;D contexts. A five-step process incorporating company values and framing questions has proven effective in guiding </w:t>
      </w:r>
      <w:proofErr w:type="gramStart"/>
      <w:r>
        <w:t>decisions[</w:t>
      </w:r>
      <w:proofErr w:type="gramEnd"/>
      <w:r>
        <w:t>1]. This framework extends to talent acquisition, ensuring alignment between hiring practices and organizational ethics.</w:t>
      </w:r>
    </w:p>
    <w:p w14:paraId="5752ADED" w14:textId="77777777" w:rsidR="00A77C8B" w:rsidRDefault="00A77C8B" w:rsidP="00A77C8B"/>
    <w:p w14:paraId="19E73571" w14:textId="77777777" w:rsidR="00A77C8B" w:rsidRDefault="00A77C8B" w:rsidP="00A77C8B">
      <w:r>
        <w:t>## High-Demand Roles in 2024</w:t>
      </w:r>
    </w:p>
    <w:p w14:paraId="55F9E972" w14:textId="77777777" w:rsidR="00A77C8B" w:rsidRDefault="00A77C8B" w:rsidP="00A77C8B"/>
    <w:p w14:paraId="6F7D997F" w14:textId="77777777" w:rsidR="00A77C8B" w:rsidRDefault="00A77C8B" w:rsidP="00A77C8B">
      <w:r>
        <w:t>**Critical Positions**:</w:t>
      </w:r>
    </w:p>
    <w:p w14:paraId="40768A3C" w14:textId="77777777" w:rsidR="00A77C8B" w:rsidRDefault="00A77C8B" w:rsidP="00A77C8B">
      <w:r>
        <w:t>- Gene therapy researchers</w:t>
      </w:r>
    </w:p>
    <w:p w14:paraId="1EA1E542" w14:textId="77777777" w:rsidR="00A77C8B" w:rsidRDefault="00A77C8B" w:rsidP="00A77C8B">
      <w:r>
        <w:t>- AI specialists in drug discovery</w:t>
      </w:r>
    </w:p>
    <w:p w14:paraId="43E4D710" w14:textId="77777777" w:rsidR="00A77C8B" w:rsidRDefault="00A77C8B" w:rsidP="00A77C8B">
      <w:r>
        <w:t>- Microbiologists</w:t>
      </w:r>
    </w:p>
    <w:p w14:paraId="3D1B6298" w14:textId="77777777" w:rsidR="00A77C8B" w:rsidRDefault="00A77C8B" w:rsidP="00A77C8B">
      <w:r>
        <w:t xml:space="preserve">- CRISPR and gene editing </w:t>
      </w:r>
      <w:proofErr w:type="gramStart"/>
      <w:r>
        <w:t>scientists[</w:t>
      </w:r>
      <w:proofErr w:type="gramEnd"/>
      <w:r>
        <w:t>5]</w:t>
      </w:r>
    </w:p>
    <w:p w14:paraId="5EA23CA1" w14:textId="77777777" w:rsidR="00A77C8B" w:rsidRDefault="00A77C8B" w:rsidP="00A77C8B"/>
    <w:p w14:paraId="10FCDD69" w14:textId="77777777" w:rsidR="00A77C8B" w:rsidRDefault="00A77C8B" w:rsidP="00A77C8B">
      <w:r>
        <w:t>## Emerging Technology Impact</w:t>
      </w:r>
    </w:p>
    <w:p w14:paraId="4FC6AE5B" w14:textId="77777777" w:rsidR="00A77C8B" w:rsidRDefault="00A77C8B" w:rsidP="00A77C8B"/>
    <w:p w14:paraId="141BAF27" w14:textId="77777777" w:rsidR="00A77C8B" w:rsidRDefault="00A77C8B" w:rsidP="00A77C8B">
      <w:r>
        <w:t>The integration of AI in biotech recruitment requires careful balance. While automation can streamline processes, over-reliance on AI systems can lead to:</w:t>
      </w:r>
    </w:p>
    <w:p w14:paraId="051B39B2" w14:textId="77777777" w:rsidR="00A77C8B" w:rsidRDefault="00A77C8B" w:rsidP="00A77C8B">
      <w:r>
        <w:lastRenderedPageBreak/>
        <w:t>- Depersonalized hiring experiences</w:t>
      </w:r>
    </w:p>
    <w:p w14:paraId="008122EE" w14:textId="77777777" w:rsidR="00A77C8B" w:rsidRDefault="00A77C8B" w:rsidP="00A77C8B">
      <w:r>
        <w:t>- Missed opportunities for talented candidates</w:t>
      </w:r>
    </w:p>
    <w:p w14:paraId="7525BFF3" w14:textId="77777777" w:rsidR="00A77C8B" w:rsidRDefault="00A77C8B" w:rsidP="00A77C8B">
      <w:r>
        <w:t xml:space="preserve">- Data security and privacy </w:t>
      </w:r>
      <w:proofErr w:type="gramStart"/>
      <w:r>
        <w:t>concerns[</w:t>
      </w:r>
      <w:proofErr w:type="gramEnd"/>
      <w:r>
        <w:t>10]</w:t>
      </w:r>
    </w:p>
    <w:p w14:paraId="4441D606" w14:textId="77777777" w:rsidR="00A77C8B" w:rsidRDefault="00A77C8B" w:rsidP="00A77C8B"/>
    <w:p w14:paraId="2CBC763A" w14:textId="77777777" w:rsidR="00A77C8B" w:rsidRDefault="00A77C8B" w:rsidP="00A77C8B">
      <w:r>
        <w:t>## Diversity and Inclusion Metrics</w:t>
      </w:r>
    </w:p>
    <w:p w14:paraId="551064F0" w14:textId="77777777" w:rsidR="00A77C8B" w:rsidRDefault="00A77C8B" w:rsidP="00A77C8B"/>
    <w:p w14:paraId="70FD2B2B" w14:textId="77777777" w:rsidR="00A77C8B" w:rsidRDefault="00A77C8B" w:rsidP="00A77C8B">
      <w:r>
        <w:t>Current industry statistics reveal:</w:t>
      </w:r>
    </w:p>
    <w:p w14:paraId="3B6E049C" w14:textId="77777777" w:rsidR="00A77C8B" w:rsidRDefault="00A77C8B" w:rsidP="00A77C8B">
      <w:r>
        <w:t>- Only 30% of organizations maintain diverse hiring committees</w:t>
      </w:r>
    </w:p>
    <w:p w14:paraId="06B3B568" w14:textId="77777777" w:rsidR="00A77C8B" w:rsidRDefault="00A77C8B" w:rsidP="00A77C8B">
      <w:r>
        <w:t>- 45% of large organizations implement diverse hiring practices</w:t>
      </w:r>
    </w:p>
    <w:p w14:paraId="37431D5D" w14:textId="77777777" w:rsidR="00A77C8B" w:rsidRDefault="00A77C8B" w:rsidP="00A77C8B">
      <w:r>
        <w:t xml:space="preserve">- 32% require diverse slates for senior </w:t>
      </w:r>
      <w:proofErr w:type="gramStart"/>
      <w:r>
        <w:t>positions[</w:t>
      </w:r>
      <w:proofErr w:type="gramEnd"/>
      <w:r>
        <w:t>7]</w:t>
      </w:r>
    </w:p>
    <w:p w14:paraId="24CA56AC" w14:textId="77777777" w:rsidR="00A77C8B" w:rsidRDefault="00A77C8B" w:rsidP="00A77C8B"/>
    <w:p w14:paraId="016BCED1" w14:textId="77777777" w:rsidR="00A77C8B" w:rsidRDefault="00A77C8B" w:rsidP="00A77C8B">
      <w:r>
        <w:t>## Market Growth and Talent Demands</w:t>
      </w:r>
    </w:p>
    <w:p w14:paraId="1FE9E299" w14:textId="77777777" w:rsidR="00A77C8B" w:rsidRDefault="00A77C8B" w:rsidP="00A77C8B"/>
    <w:p w14:paraId="6AA6C3AC" w14:textId="77777777" w:rsidR="00A77C8B" w:rsidRDefault="00A77C8B" w:rsidP="00A77C8B">
      <w:r>
        <w:t xml:space="preserve">The cell therapy market alone is projected to reach $21 billion by 2026, driving demand for specialized </w:t>
      </w:r>
      <w:proofErr w:type="gramStart"/>
      <w:r>
        <w:t>talent[</w:t>
      </w:r>
      <w:proofErr w:type="gramEnd"/>
      <w:r>
        <w:t>6]. This growth creates opportunities across multiple therapeutic areas:</w:t>
      </w:r>
    </w:p>
    <w:p w14:paraId="1AAD9CC1" w14:textId="77777777" w:rsidR="00A77C8B" w:rsidRDefault="00A77C8B" w:rsidP="00A77C8B"/>
    <w:p w14:paraId="11634C44" w14:textId="77777777" w:rsidR="00A77C8B" w:rsidRDefault="00A77C8B" w:rsidP="00A77C8B">
      <w:r>
        <w:t>**Key Growth Areas**:</w:t>
      </w:r>
    </w:p>
    <w:p w14:paraId="2971905D" w14:textId="77777777" w:rsidR="00A77C8B" w:rsidRDefault="00A77C8B" w:rsidP="00A77C8B">
      <w:r>
        <w:t>- Cell and gene therapies</w:t>
      </w:r>
    </w:p>
    <w:p w14:paraId="04BC1A74" w14:textId="77777777" w:rsidR="00A77C8B" w:rsidRDefault="00A77C8B" w:rsidP="00A77C8B">
      <w:r>
        <w:t>- AI-driven drug discovery</w:t>
      </w:r>
    </w:p>
    <w:p w14:paraId="3F4F7F60" w14:textId="77777777" w:rsidR="00A77C8B" w:rsidRDefault="00A77C8B" w:rsidP="00A77C8B">
      <w:r>
        <w:t>- Regenerative medicine</w:t>
      </w:r>
    </w:p>
    <w:p w14:paraId="67D6584B" w14:textId="77777777" w:rsidR="00A77C8B" w:rsidRDefault="00A77C8B" w:rsidP="00A77C8B">
      <w:r>
        <w:t xml:space="preserve">- CRISPR </w:t>
      </w:r>
      <w:proofErr w:type="gramStart"/>
      <w:r>
        <w:t>technology[</w:t>
      </w:r>
      <w:proofErr w:type="gramEnd"/>
      <w:r>
        <w:t>6]</w:t>
      </w:r>
    </w:p>
    <w:p w14:paraId="25062DF5" w14:textId="77777777" w:rsidR="00A77C8B" w:rsidRDefault="00A77C8B" w:rsidP="00A77C8B"/>
    <w:p w14:paraId="791DDB61" w14:textId="77777777" w:rsidR="00A77C8B" w:rsidRDefault="00A77C8B" w:rsidP="00A77C8B">
      <w:r>
        <w:t>## Best Practices for Talent Acquisition</w:t>
      </w:r>
    </w:p>
    <w:p w14:paraId="09760E1B" w14:textId="77777777" w:rsidR="00A77C8B" w:rsidRDefault="00A77C8B" w:rsidP="00A77C8B"/>
    <w:p w14:paraId="1107CAA6" w14:textId="77777777" w:rsidR="00A77C8B" w:rsidRDefault="00A77C8B" w:rsidP="00A77C8B">
      <w:r>
        <w:t>Organizations should focus on:</w:t>
      </w:r>
    </w:p>
    <w:p w14:paraId="72F5F58E" w14:textId="77777777" w:rsidR="00A77C8B" w:rsidRDefault="00A77C8B" w:rsidP="00A77C8B">
      <w:r>
        <w:t>- Building robust talent pipelines through academic partnerships</w:t>
      </w:r>
    </w:p>
    <w:p w14:paraId="60DA2BB7" w14:textId="77777777" w:rsidR="00A77C8B" w:rsidRDefault="00A77C8B" w:rsidP="00A77C8B">
      <w:r>
        <w:lastRenderedPageBreak/>
        <w:t>- Implementing structured ethical decision-making frameworks</w:t>
      </w:r>
    </w:p>
    <w:p w14:paraId="2CCBF14F" w14:textId="77777777" w:rsidR="00A77C8B" w:rsidRDefault="00A77C8B" w:rsidP="00A77C8B">
      <w:r>
        <w:t>- Balancing automation with human judgment</w:t>
      </w:r>
    </w:p>
    <w:p w14:paraId="26F537C5" w14:textId="77777777" w:rsidR="00A77C8B" w:rsidRDefault="00A77C8B" w:rsidP="00A77C8B">
      <w:r>
        <w:t xml:space="preserve">- Maintaining strong data privacy </w:t>
      </w:r>
      <w:proofErr w:type="gramStart"/>
      <w:r>
        <w:t>protocols[</w:t>
      </w:r>
      <w:proofErr w:type="gramEnd"/>
      <w:r>
        <w:t>10]</w:t>
      </w:r>
    </w:p>
    <w:p w14:paraId="286952C4" w14:textId="77777777" w:rsidR="00A77C8B" w:rsidRDefault="00A77C8B" w:rsidP="00A77C8B"/>
    <w:p w14:paraId="6B98E6A4" w14:textId="77777777" w:rsidR="00A77C8B" w:rsidRDefault="00A77C8B" w:rsidP="00A77C8B">
      <w:r>
        <w:t>The success of biotech recruitment ultimately depends on combining industry expertise with ethical considerations while maintaining a human-centric approach to talent acquisition.</w:t>
      </w:r>
    </w:p>
    <w:p w14:paraId="63D51FAE" w14:textId="77777777" w:rsidR="00A77C8B" w:rsidRDefault="00A77C8B" w:rsidP="00A77C8B"/>
    <w:p w14:paraId="022D4B07" w14:textId="77777777" w:rsidR="00A77C8B" w:rsidRDefault="00A77C8B" w:rsidP="00A77C8B">
      <w:r>
        <w:t>Citations:</w:t>
      </w:r>
    </w:p>
    <w:p w14:paraId="1EA405D7" w14:textId="77777777" w:rsidR="00A77C8B" w:rsidRDefault="00A77C8B" w:rsidP="00A77C8B">
      <w:r>
        <w:t>[1] https://pmc.ncbi.nlm.nih.gov/articles/PMC7482740/</w:t>
      </w:r>
    </w:p>
    <w:p w14:paraId="1580C8BA" w14:textId="77777777" w:rsidR="00A77C8B" w:rsidRDefault="00A77C8B" w:rsidP="00A77C8B">
      <w:r>
        <w:t>[2] https://pmc.ncbi.nlm.nih.gov/articles/PMC5421779/</w:t>
      </w:r>
    </w:p>
    <w:p w14:paraId="08A133DB" w14:textId="77777777" w:rsidR="00A77C8B" w:rsidRDefault="00A77C8B" w:rsidP="00A77C8B">
      <w:r>
        <w:t>[3] https://www.baybridgebio.com/blog/lessons-from-genentech</w:t>
      </w:r>
    </w:p>
    <w:p w14:paraId="2B4F1973" w14:textId="77777777" w:rsidR="00A77C8B" w:rsidRDefault="00A77C8B" w:rsidP="00A77C8B">
      <w:r>
        <w:t>[4] https://recruitslab.com/unlocking-success-biotech-talent-acquisition-strategies-for-the-future/</w:t>
      </w:r>
    </w:p>
    <w:p w14:paraId="14900FCC" w14:textId="77777777" w:rsidR="00A77C8B" w:rsidRDefault="00A77C8B" w:rsidP="00A77C8B">
      <w:r>
        <w:t>[5] https://www.labiotech.eu/expert-advice/biotechnology-careers-in-high-demand/</w:t>
      </w:r>
    </w:p>
    <w:p w14:paraId="75BAAF5E" w14:textId="77777777" w:rsidR="00A77C8B" w:rsidRDefault="00A77C8B" w:rsidP="00A77C8B">
      <w:r>
        <w:t>[6] https://www.mckinsey.com/industries/life-sciences/our-insights/what-early-stage-investing-reveals-about-biotech-innovation</w:t>
      </w:r>
    </w:p>
    <w:p w14:paraId="15E69413" w14:textId="77777777" w:rsidR="00A77C8B" w:rsidRDefault="00A77C8B" w:rsidP="00A77C8B">
      <w:r>
        <w:t>[7] https://www.bio.org/sites/default/files/2022-06/261734_BIO_22_DEI_Report_P4.pdf</w:t>
      </w:r>
    </w:p>
    <w:p w14:paraId="49CB582C" w14:textId="77777777" w:rsidR="00A77C8B" w:rsidRDefault="00A77C8B" w:rsidP="00A77C8B">
      <w:r>
        <w:t>[8] https://pmc.ncbi.nlm.nih.gov/articles/PMC3570985/</w:t>
      </w:r>
    </w:p>
    <w:p w14:paraId="19025D77" w14:textId="77777777" w:rsidR="00A77C8B" w:rsidRDefault="00A77C8B" w:rsidP="00A77C8B">
      <w:r>
        <w:t>[9] https://www.linkedin.com/pulse/regulatory-affairs-timelines-pathways-betaki-batsilas-mba-ms-pm-</w:t>
      </w:r>
    </w:p>
    <w:p w14:paraId="43CE2D58" w14:textId="0AC84AAB" w:rsidR="00A77C8B" w:rsidRDefault="00A77C8B" w:rsidP="00A77C8B">
      <w:r>
        <w:t>[10] https://www.brunel.net/en-us/blog/life-sciences/the-recent-pitfalls-of-ai-in-biotech-recruitment</w:t>
      </w:r>
    </w:p>
    <w:p w14:paraId="4CD21E2A" w14:textId="77777777" w:rsidR="00A77C8B" w:rsidRDefault="00A77C8B" w:rsidP="00A77C8B"/>
    <w:sectPr w:rsidR="00A77C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C8B"/>
    <w:rsid w:val="002B7C04"/>
    <w:rsid w:val="00326521"/>
    <w:rsid w:val="00A41220"/>
    <w:rsid w:val="00A668E0"/>
    <w:rsid w:val="00A77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E93E2"/>
  <w15:chartTrackingRefBased/>
  <w15:docId w15:val="{677BC3BA-1816-4962-97A2-3B1C035B2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C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C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C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C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C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C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C8B"/>
    <w:rPr>
      <w:rFonts w:eastAsiaTheme="majorEastAsia" w:cstheme="majorBidi"/>
      <w:color w:val="272727" w:themeColor="text1" w:themeTint="D8"/>
    </w:rPr>
  </w:style>
  <w:style w:type="paragraph" w:styleId="Title">
    <w:name w:val="Title"/>
    <w:basedOn w:val="Normal"/>
    <w:next w:val="Normal"/>
    <w:link w:val="TitleChar"/>
    <w:uiPriority w:val="10"/>
    <w:qFormat/>
    <w:rsid w:val="00A77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C8B"/>
    <w:pPr>
      <w:spacing w:before="160"/>
      <w:jc w:val="center"/>
    </w:pPr>
    <w:rPr>
      <w:i/>
      <w:iCs/>
      <w:color w:val="404040" w:themeColor="text1" w:themeTint="BF"/>
    </w:rPr>
  </w:style>
  <w:style w:type="character" w:customStyle="1" w:styleId="QuoteChar">
    <w:name w:val="Quote Char"/>
    <w:basedOn w:val="DefaultParagraphFont"/>
    <w:link w:val="Quote"/>
    <w:uiPriority w:val="29"/>
    <w:rsid w:val="00A77C8B"/>
    <w:rPr>
      <w:i/>
      <w:iCs/>
      <w:color w:val="404040" w:themeColor="text1" w:themeTint="BF"/>
    </w:rPr>
  </w:style>
  <w:style w:type="paragraph" w:styleId="ListParagraph">
    <w:name w:val="List Paragraph"/>
    <w:basedOn w:val="Normal"/>
    <w:uiPriority w:val="34"/>
    <w:qFormat/>
    <w:rsid w:val="00A77C8B"/>
    <w:pPr>
      <w:ind w:left="720"/>
      <w:contextualSpacing/>
    </w:pPr>
  </w:style>
  <w:style w:type="character" w:styleId="IntenseEmphasis">
    <w:name w:val="Intense Emphasis"/>
    <w:basedOn w:val="DefaultParagraphFont"/>
    <w:uiPriority w:val="21"/>
    <w:qFormat/>
    <w:rsid w:val="00A77C8B"/>
    <w:rPr>
      <w:i/>
      <w:iCs/>
      <w:color w:val="0F4761" w:themeColor="accent1" w:themeShade="BF"/>
    </w:rPr>
  </w:style>
  <w:style w:type="paragraph" w:styleId="IntenseQuote">
    <w:name w:val="Intense Quote"/>
    <w:basedOn w:val="Normal"/>
    <w:next w:val="Normal"/>
    <w:link w:val="IntenseQuoteChar"/>
    <w:uiPriority w:val="30"/>
    <w:qFormat/>
    <w:rsid w:val="00A77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C8B"/>
    <w:rPr>
      <w:i/>
      <w:iCs/>
      <w:color w:val="0F4761" w:themeColor="accent1" w:themeShade="BF"/>
    </w:rPr>
  </w:style>
  <w:style w:type="character" w:styleId="IntenseReference">
    <w:name w:val="Intense Reference"/>
    <w:basedOn w:val="DefaultParagraphFont"/>
    <w:uiPriority w:val="32"/>
    <w:qFormat/>
    <w:rsid w:val="00A77C8B"/>
    <w:rPr>
      <w:b/>
      <w:bCs/>
      <w:smallCaps/>
      <w:color w:val="0F4761" w:themeColor="accent1" w:themeShade="BF"/>
      <w:spacing w:val="5"/>
    </w:rPr>
  </w:style>
  <w:style w:type="character" w:styleId="Hyperlink">
    <w:name w:val="Hyperlink"/>
    <w:basedOn w:val="DefaultParagraphFont"/>
    <w:uiPriority w:val="99"/>
    <w:unhideWhenUsed/>
    <w:rsid w:val="00A77C8B"/>
    <w:rPr>
      <w:color w:val="467886" w:themeColor="hyperlink"/>
      <w:u w:val="single"/>
    </w:rPr>
  </w:style>
  <w:style w:type="character" w:styleId="UnresolvedMention">
    <w:name w:val="Unresolved Mention"/>
    <w:basedOn w:val="DefaultParagraphFont"/>
    <w:uiPriority w:val="99"/>
    <w:semiHidden/>
    <w:unhideWhenUsed/>
    <w:rsid w:val="00A77C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ls.gov/opub/btn/volume-13/remote-work-productivity.htm" TargetMode="External"/><Relationship Id="rId4" Type="http://schemas.openxmlformats.org/officeDocument/2006/relationships/hyperlink" Target="https://www.globaldata.com/store/report/state-of-biopharmaceutical-industry-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408</Words>
  <Characters>10863</Characters>
  <Application>Microsoft Office Word</Application>
  <DocSecurity>0</DocSecurity>
  <Lines>362</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2025-01-03T21:38:00Z</dcterms:created>
  <dcterms:modified xsi:type="dcterms:W3CDTF">2025-01-06T05:26:00Z</dcterms:modified>
</cp:coreProperties>
</file>