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D843" w14:textId="2F7CA551" w:rsidR="00A946B0" w:rsidRPr="00A946B0" w:rsidRDefault="00A946B0" w:rsidP="00A94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Associate Director/Director, Patient Safety Operations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Ionis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189">
        <w:rPr>
          <w:rFonts w:ascii="Times New Roman" w:eastAsia="Times New Roman" w:hAnsi="Times New Roman" w:cs="Times New Roman"/>
          <w:kern w:val="0"/>
          <w14:ligatures w14:val="none"/>
        </w:rPr>
        <w:t>Remote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Number: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IONIS003930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Type: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Full-Time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1514330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058B7D84" w14:textId="77777777" w:rsidR="00A946B0" w:rsidRPr="00A946B0" w:rsidRDefault="00A946B0" w:rsidP="00A94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Ionis is seeking an Associate Director/Director, Patient Safety Operations to lead and oversee day-to-day global safety operations across clinical development and post-marketing programs. This role is a key operational leader within Patient Safety and Pharmacovigilance, partnering cross-functionally to ensure compliant, high-quality safety execution across case processing, expedited reporting, vendor oversight, safety data exchange agreements, aggregate reporting support, safety systems administration, and inspection readiness.</w:t>
      </w:r>
    </w:p>
    <w:p w14:paraId="535AF07E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 (5–7)</w:t>
      </w:r>
    </w:p>
    <w:p w14:paraId="62C8ECCF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Lead day-to-day Patient Safety Operations across clinical and post-marketing programs, managing both macro planning and detailed execution.</w:t>
      </w:r>
    </w:p>
    <w:p w14:paraId="5131B5A3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Oversee case processing workflows, timelines, and quality in partnership with internal teams, vendors, CROs, and business partners.</w:t>
      </w:r>
    </w:p>
    <w:p w14:paraId="7B121264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Own vendor oversight for safety operations, including KPI performance, compliance to contracts/agreements, and issue escalation.</w:t>
      </w:r>
    </w:p>
    <w:p w14:paraId="7F5880E8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Manage third-party quality events, drive CAPA development and closure, and implement operational process improvements.</w:t>
      </w:r>
    </w:p>
    <w:p w14:paraId="01564AC8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Maintain and monitor global SUSAR compliance metrics, including oversight of expedited reporting tracking and submissions.</w:t>
      </w:r>
    </w:p>
    <w:p w14:paraId="667F8FEE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Support safety systems and safety database operations (Argus required), including configuration updates, data quality, and validation activities in partnership with IT and system providers.</w:t>
      </w:r>
    </w:p>
    <w:p w14:paraId="46C17CEC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Drive inspection readiness and support audit/inspection execution (pre, during, and post), ensuring documentation integrity and process adherence.</w:t>
      </w:r>
    </w:p>
    <w:p w14:paraId="07E2386A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 (5–7)</w:t>
      </w:r>
    </w:p>
    <w:p w14:paraId="0C9AE359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12+ years of experience in drug safety/pharmacovigilance, including operational leadership responsibility.</w:t>
      </w:r>
    </w:p>
    <w:p w14:paraId="2D108096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Degree in life sciences or equivalent relevant experience (HCP background acceptable; MD not required).</w:t>
      </w:r>
    </w:p>
    <w:p w14:paraId="6D21B742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Strong working knowledge of global PV regulations and safety reporting requirements (ICH, FDA, EMA, MHRA, etc.).</w:t>
      </w:r>
    </w:p>
    <w:p w14:paraId="418044BB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Argus experience required (hands-on system knowledge and operational understanding).</w:t>
      </w:r>
    </w:p>
    <w:p w14:paraId="70D9872F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Demonstrated experience managing vendors and third-party partners, including KPIs, compliance, and issue remediation (CAPAs).</w:t>
      </w:r>
    </w:p>
    <w:p w14:paraId="6423FA54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Proven ability to manage complex operational projects across global timelines with high attention to quality and compliance.</w:t>
      </w:r>
    </w:p>
    <w:p w14:paraId="534743DA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Excellent communication skills (written and verbal English) and proficiency in commonly used Microsoft applications.</w:t>
      </w:r>
    </w:p>
    <w:p w14:paraId="7002EC24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Qualifications</w:t>
      </w:r>
    </w:p>
    <w:p w14:paraId="3B2A1B23" w14:textId="77777777" w:rsidR="00A946B0" w:rsidRPr="00A946B0" w:rsidRDefault="00A946B0" w:rsidP="00A94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Experience with Veeva, eTMF, and EDC systems.</w:t>
      </w:r>
    </w:p>
    <w:p w14:paraId="595FE382" w14:textId="77777777" w:rsidR="00A946B0" w:rsidRPr="00A946B0" w:rsidRDefault="00A946B0" w:rsidP="00A94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Prior involvement in regulatory inspections/</w:t>
      </w:r>
      <w:proofErr w:type="gramStart"/>
      <w:r w:rsidRPr="00A946B0">
        <w:rPr>
          <w:rFonts w:ascii="Times New Roman" w:eastAsia="Times New Roman" w:hAnsi="Times New Roman" w:cs="Times New Roman"/>
          <w:kern w:val="0"/>
          <w14:ligatures w14:val="none"/>
        </w:rPr>
        <w:t>audits</w:t>
      </w:r>
      <w:proofErr w:type="gramEnd"/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(front room or back room experience strongly preferred).</w:t>
      </w:r>
    </w:p>
    <w:p w14:paraId="4EA7CB3E" w14:textId="77777777" w:rsidR="00A946B0" w:rsidRPr="00A946B0" w:rsidRDefault="00A946B0" w:rsidP="00A94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Experience supporting pharmacovigilance agreements (PVAs) and safety data exchange agreements (SDEAs), including tracker ownership and operational governance.</w:t>
      </w:r>
    </w:p>
    <w:p w14:paraId="162CDB46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 Range</w:t>
      </w:r>
    </w:p>
    <w:p w14:paraId="51E4C66C" w14:textId="77777777" w:rsidR="00A946B0" w:rsidRPr="00A946B0" w:rsidRDefault="00A946B0" w:rsidP="00A9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pay scale: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$186,666 to $251,068</w:t>
      </w:r>
    </w:p>
    <w:p w14:paraId="509D0DB3" w14:textId="77777777" w:rsidR="00A946B0" w:rsidRPr="00A946B0" w:rsidRDefault="00A946B0" w:rsidP="00A9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 pay scale: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$186,666 to $221,450</w:t>
      </w:r>
    </w:p>
    <w:p w14:paraId="34237E85" w14:textId="77777777" w:rsidR="00A946B0" w:rsidRPr="00A946B0" w:rsidRDefault="00A946B0" w:rsidP="00A9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 pay scale: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$220,031 to $251,068</w:t>
      </w:r>
    </w:p>
    <w:p w14:paraId="0431D3CE" w14:textId="77777777" w:rsidR="00FD6B8C" w:rsidRDefault="00FD6B8C"/>
    <w:sectPr w:rsidR="00FD6B8C" w:rsidSect="00A946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7291"/>
    <w:multiLevelType w:val="multilevel"/>
    <w:tmpl w:val="D63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1350"/>
    <w:multiLevelType w:val="multilevel"/>
    <w:tmpl w:val="218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0132A"/>
    <w:multiLevelType w:val="multilevel"/>
    <w:tmpl w:val="B4D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856E6"/>
    <w:multiLevelType w:val="multilevel"/>
    <w:tmpl w:val="079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610113">
    <w:abstractNumId w:val="3"/>
  </w:num>
  <w:num w:numId="2" w16cid:durableId="964389937">
    <w:abstractNumId w:val="0"/>
  </w:num>
  <w:num w:numId="3" w16cid:durableId="140344962">
    <w:abstractNumId w:val="2"/>
  </w:num>
  <w:num w:numId="4" w16cid:durableId="269364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B0"/>
    <w:rsid w:val="000E476E"/>
    <w:rsid w:val="00930189"/>
    <w:rsid w:val="0099440D"/>
    <w:rsid w:val="00A946B0"/>
    <w:rsid w:val="00DA4896"/>
    <w:rsid w:val="00FD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7001"/>
  <w15:chartTrackingRefBased/>
  <w15:docId w15:val="{D667CB33-5DCD-4D04-ACAA-BBFAF3B5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2026-01-23T14:58:00Z</dcterms:created>
  <dcterms:modified xsi:type="dcterms:W3CDTF">2026-01-23T14:58:00Z</dcterms:modified>
</cp:coreProperties>
</file>