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7A205" w14:textId="0F106211" w:rsidR="004C6FBA" w:rsidRDefault="004C6FBA" w:rsidP="004C6FBA">
      <w:pPr>
        <w:pStyle w:val="NormalWeb"/>
      </w:pPr>
      <w:r>
        <w:rPr>
          <w:rStyle w:val="Strong"/>
          <w:rFonts w:eastAsiaTheme="majorEastAsia"/>
        </w:rPr>
        <w:t>Job Title:</w:t>
      </w:r>
      <w:r>
        <w:br/>
        <w:t xml:space="preserve">Vice President, Clinical Development </w:t>
      </w:r>
      <w:r w:rsidR="00944F6F">
        <w:t>-</w:t>
      </w:r>
      <w:r>
        <w:t xml:space="preserve"> Immunology</w:t>
      </w:r>
    </w:p>
    <w:p w14:paraId="319F6113" w14:textId="77777777" w:rsidR="004C6FBA" w:rsidRDefault="004C6FBA" w:rsidP="004C6FBA">
      <w:pPr>
        <w:pStyle w:val="NormalWeb"/>
      </w:pPr>
      <w:r>
        <w:rPr>
          <w:rStyle w:val="Strong"/>
          <w:rFonts w:eastAsiaTheme="majorEastAsia"/>
        </w:rPr>
        <w:t>Company:</w:t>
      </w:r>
      <w:r>
        <w:br/>
      </w:r>
      <w:proofErr w:type="spellStart"/>
      <w:r>
        <w:t>Aditum</w:t>
      </w:r>
      <w:proofErr w:type="spellEnd"/>
      <w:r>
        <w:t xml:space="preserve"> Bio</w:t>
      </w:r>
    </w:p>
    <w:p w14:paraId="4A5BE5C7" w14:textId="5769ECB6" w:rsidR="004C6FBA" w:rsidRDefault="004C6FBA" w:rsidP="004C6FBA">
      <w:pPr>
        <w:pStyle w:val="NormalWeb"/>
      </w:pPr>
      <w:r>
        <w:rPr>
          <w:rStyle w:val="Strong"/>
          <w:rFonts w:eastAsiaTheme="majorEastAsia"/>
        </w:rPr>
        <w:t>Location:</w:t>
      </w:r>
      <w:r>
        <w:br/>
        <w:t>Cambridge, MA</w:t>
      </w:r>
      <w:r w:rsidR="00944F6F">
        <w:t xml:space="preserve"> or Oakland, CA</w:t>
      </w:r>
      <w:r>
        <w:t xml:space="preserve"> (Hybrid)</w:t>
      </w:r>
    </w:p>
    <w:p w14:paraId="428ACEE5" w14:textId="4E4B8194" w:rsidR="004C6FBA" w:rsidRDefault="004C6FBA" w:rsidP="004C6FBA">
      <w:pPr>
        <w:pStyle w:val="NormalWeb"/>
      </w:pPr>
      <w:r>
        <w:rPr>
          <w:rStyle w:val="Strong"/>
          <w:rFonts w:eastAsiaTheme="majorEastAsia"/>
        </w:rPr>
        <w:t>Hiring Manager:</w:t>
      </w:r>
      <w:r>
        <w:br/>
      </w:r>
      <w:r w:rsidR="003E5D82">
        <w:t xml:space="preserve">Chief Scientific Officer </w:t>
      </w:r>
    </w:p>
    <w:p w14:paraId="62300B98" w14:textId="77777777" w:rsidR="004C6FBA" w:rsidRDefault="004C6FBA" w:rsidP="004C6FBA">
      <w:pPr>
        <w:pStyle w:val="NormalWeb"/>
      </w:pPr>
      <w:r>
        <w:rPr>
          <w:rStyle w:val="Strong"/>
          <w:rFonts w:eastAsiaTheme="majorEastAsia"/>
        </w:rPr>
        <w:t>Company Overview:</w:t>
      </w:r>
      <w:r>
        <w:br/>
        <w:t xml:space="preserve">At </w:t>
      </w:r>
      <w:proofErr w:type="spellStart"/>
      <w:r>
        <w:t>Aditum</w:t>
      </w:r>
      <w:proofErr w:type="spellEnd"/>
      <w:r>
        <w:t xml:space="preserve"> Bio, our mission is to accelerate access to transformative medicines for patients in need. Co-founded by Joe Jimenez, former CEO of Novartis, and Mark Fishman, former President of the Novartis Institutes for Biomedical Research, </w:t>
      </w:r>
      <w:proofErr w:type="spellStart"/>
      <w:r>
        <w:t>Aditum</w:t>
      </w:r>
      <w:proofErr w:type="spellEnd"/>
      <w:r>
        <w:t xml:space="preserve"> Bio focuses on advancing promising therapies through early clinical development (Phase 1–2). By bridging the translational phase, we generate the data needed to support full clinical development and eventual commercialization, bringing innovative treatments to patients faster.</w:t>
      </w:r>
    </w:p>
    <w:p w14:paraId="6839AF57" w14:textId="77777777" w:rsidR="004C6FBA" w:rsidRDefault="004C6FBA" w:rsidP="004C6FBA">
      <w:pPr>
        <w:pStyle w:val="NormalWeb"/>
      </w:pPr>
      <w:r>
        <w:rPr>
          <w:rStyle w:val="Strong"/>
          <w:rFonts w:eastAsiaTheme="majorEastAsia"/>
        </w:rPr>
        <w:t>Position Summary:</w:t>
      </w:r>
      <w:r>
        <w:br/>
        <w:t>We are seeking a Vice President, Clinical Development – Immunology, to lead and oversee the execution of early-phase immunology clinical programs across our portfolio companies. The role requires a physician-scientist with deep expertise in early-stage drug development, a track record of running clinical trials, and the ability to lead cross-functional teams and external partners. The successful candidate will be a key driver of our immunology portfolio strategy, ensuring timely, compliant, and high-quality execution of clinical studies.</w:t>
      </w:r>
    </w:p>
    <w:p w14:paraId="080896BE" w14:textId="77777777" w:rsidR="004C6FBA" w:rsidRDefault="004C6FBA" w:rsidP="004C6FBA">
      <w:pPr>
        <w:pStyle w:val="NormalWeb"/>
      </w:pPr>
      <w:r>
        <w:rPr>
          <w:rStyle w:val="Strong"/>
          <w:rFonts w:eastAsiaTheme="majorEastAsia"/>
        </w:rPr>
        <w:t>Responsibilities:</w:t>
      </w:r>
    </w:p>
    <w:p w14:paraId="4C8BAD59" w14:textId="77777777" w:rsidR="004C6FBA" w:rsidRDefault="004C6FBA" w:rsidP="004C6FBA">
      <w:pPr>
        <w:pStyle w:val="NormalWeb"/>
        <w:numPr>
          <w:ilvl w:val="0"/>
          <w:numId w:val="1"/>
        </w:numPr>
      </w:pPr>
      <w:r>
        <w:t>Lead execution of Phase 1 and Phase 2 clinical trials within assigned portfolio companies.</w:t>
      </w:r>
    </w:p>
    <w:p w14:paraId="2585FD42" w14:textId="77777777" w:rsidR="004C6FBA" w:rsidRDefault="004C6FBA" w:rsidP="004C6FBA">
      <w:pPr>
        <w:pStyle w:val="NormalWeb"/>
        <w:numPr>
          <w:ilvl w:val="0"/>
          <w:numId w:val="1"/>
        </w:numPr>
      </w:pPr>
      <w:r>
        <w:t>Collaborate with the CSO, Immunology, and Clinical Operations leadership to design and implement clinical development plans aligned with overall product strategy.</w:t>
      </w:r>
    </w:p>
    <w:p w14:paraId="2051A339" w14:textId="77777777" w:rsidR="004C6FBA" w:rsidRDefault="004C6FBA" w:rsidP="004C6FBA">
      <w:pPr>
        <w:pStyle w:val="NormalWeb"/>
        <w:numPr>
          <w:ilvl w:val="0"/>
          <w:numId w:val="1"/>
        </w:numPr>
      </w:pPr>
      <w:r>
        <w:t>Oversee safety monitoring, adverse event assessment, and go/no-go decisions for clinical programs.</w:t>
      </w:r>
    </w:p>
    <w:p w14:paraId="76EF77CD" w14:textId="77777777" w:rsidR="004C6FBA" w:rsidRDefault="004C6FBA" w:rsidP="004C6FBA">
      <w:pPr>
        <w:pStyle w:val="NormalWeb"/>
        <w:numPr>
          <w:ilvl w:val="0"/>
          <w:numId w:val="1"/>
        </w:numPr>
      </w:pPr>
      <w:r>
        <w:t>Provide ongoing medical monitoring for active trials, including review of protocol deviations and screening failures.</w:t>
      </w:r>
    </w:p>
    <w:p w14:paraId="5BD3F938" w14:textId="77777777" w:rsidR="004C6FBA" w:rsidRDefault="004C6FBA" w:rsidP="004C6FBA">
      <w:pPr>
        <w:pStyle w:val="NormalWeb"/>
        <w:numPr>
          <w:ilvl w:val="0"/>
          <w:numId w:val="1"/>
        </w:numPr>
      </w:pPr>
      <w:r>
        <w:t>Serve as primary medical liaison for investigators and CRO partners, offering medical guidance and training site staff on protocol requirements.</w:t>
      </w:r>
    </w:p>
    <w:p w14:paraId="6E0CBC06" w14:textId="77777777" w:rsidR="004C6FBA" w:rsidRDefault="004C6FBA" w:rsidP="004C6FBA">
      <w:pPr>
        <w:pStyle w:val="NormalWeb"/>
        <w:numPr>
          <w:ilvl w:val="0"/>
          <w:numId w:val="1"/>
        </w:numPr>
      </w:pPr>
      <w:r>
        <w:t>Maintain deep scientific knowledge of disease pathways by reviewing literature, attending medical congresses, and engaging with KOLs.</w:t>
      </w:r>
    </w:p>
    <w:p w14:paraId="7996147B" w14:textId="77777777" w:rsidR="004C6FBA" w:rsidRDefault="004C6FBA" w:rsidP="004C6FBA">
      <w:pPr>
        <w:pStyle w:val="NormalWeb"/>
        <w:numPr>
          <w:ilvl w:val="0"/>
          <w:numId w:val="1"/>
        </w:numPr>
      </w:pPr>
      <w:r>
        <w:t>Drive cross-functional collaboration across regulatory, operations, and external partners to ensure program milestones are achieved.</w:t>
      </w:r>
    </w:p>
    <w:p w14:paraId="0D9CBEE1" w14:textId="77777777" w:rsidR="004C6FBA" w:rsidRDefault="004C6FBA" w:rsidP="004C6FBA">
      <w:pPr>
        <w:pStyle w:val="NormalWeb"/>
      </w:pPr>
      <w:r>
        <w:rPr>
          <w:rStyle w:val="Strong"/>
          <w:rFonts w:eastAsiaTheme="majorEastAsia"/>
        </w:rPr>
        <w:t>Required Qualifications:</w:t>
      </w:r>
    </w:p>
    <w:p w14:paraId="51536B85" w14:textId="77777777" w:rsidR="004C6FBA" w:rsidRDefault="004C6FBA" w:rsidP="004C6FBA">
      <w:pPr>
        <w:pStyle w:val="NormalWeb"/>
        <w:numPr>
          <w:ilvl w:val="0"/>
          <w:numId w:val="2"/>
        </w:numPr>
      </w:pPr>
      <w:r>
        <w:t>MD or MD/PhD with at least 6 years of industry experience in clinical development at a pharmaceutical or biotech company.</w:t>
      </w:r>
    </w:p>
    <w:p w14:paraId="0850A67C" w14:textId="77777777" w:rsidR="004C6FBA" w:rsidRDefault="004C6FBA" w:rsidP="004C6FBA">
      <w:pPr>
        <w:pStyle w:val="NormalWeb"/>
        <w:numPr>
          <w:ilvl w:val="0"/>
          <w:numId w:val="2"/>
        </w:numPr>
      </w:pPr>
      <w:r>
        <w:t>Demonstrated expertise in early-stage development (pre-IND, IND, Phase 1 and Phase 2).</w:t>
      </w:r>
    </w:p>
    <w:p w14:paraId="190F9C5F" w14:textId="77777777" w:rsidR="004C6FBA" w:rsidRDefault="004C6FBA" w:rsidP="004C6FBA">
      <w:pPr>
        <w:pStyle w:val="NormalWeb"/>
        <w:numPr>
          <w:ilvl w:val="0"/>
          <w:numId w:val="2"/>
        </w:numPr>
      </w:pPr>
      <w:r>
        <w:t>Proven ability to independently run clinical programs with minimal oversight.</w:t>
      </w:r>
    </w:p>
    <w:p w14:paraId="06EE9A45" w14:textId="77777777" w:rsidR="004C6FBA" w:rsidRDefault="004C6FBA" w:rsidP="004C6FBA">
      <w:pPr>
        <w:pStyle w:val="NormalWeb"/>
        <w:numPr>
          <w:ilvl w:val="0"/>
          <w:numId w:val="2"/>
        </w:numPr>
      </w:pPr>
      <w:r>
        <w:t>Strong background in immunology clinical programs (highly preferred).</w:t>
      </w:r>
    </w:p>
    <w:p w14:paraId="0AA0ED8F" w14:textId="77777777" w:rsidR="004C6FBA" w:rsidRDefault="004C6FBA" w:rsidP="004C6FBA">
      <w:pPr>
        <w:pStyle w:val="NormalWeb"/>
        <w:numPr>
          <w:ilvl w:val="0"/>
          <w:numId w:val="2"/>
        </w:numPr>
      </w:pPr>
      <w:r>
        <w:t>Extensive knowledge of clinical trial design, methodology, regulatory requirements, and compliance.</w:t>
      </w:r>
    </w:p>
    <w:p w14:paraId="5AC64C08" w14:textId="77777777" w:rsidR="004C6FBA" w:rsidRDefault="004C6FBA" w:rsidP="004C6FBA">
      <w:pPr>
        <w:pStyle w:val="NormalWeb"/>
        <w:numPr>
          <w:ilvl w:val="0"/>
          <w:numId w:val="2"/>
        </w:numPr>
      </w:pPr>
      <w:r>
        <w:t>Leadership experience in a matrixed environment with strong vendor management capabilities.</w:t>
      </w:r>
    </w:p>
    <w:p w14:paraId="045FBAE2" w14:textId="77777777" w:rsidR="004C6FBA" w:rsidRDefault="004C6FBA" w:rsidP="004C6FBA">
      <w:pPr>
        <w:pStyle w:val="NormalWeb"/>
        <w:numPr>
          <w:ilvl w:val="0"/>
          <w:numId w:val="2"/>
        </w:numPr>
      </w:pPr>
      <w:r>
        <w:t>Excellent communication and collaboration skills.</w:t>
      </w:r>
    </w:p>
    <w:p w14:paraId="679119C2" w14:textId="77777777" w:rsidR="004C6FBA" w:rsidRDefault="004C6FBA" w:rsidP="004C6FBA">
      <w:pPr>
        <w:pStyle w:val="NormalWeb"/>
      </w:pPr>
      <w:r>
        <w:rPr>
          <w:rStyle w:val="Strong"/>
          <w:rFonts w:eastAsiaTheme="majorEastAsia"/>
        </w:rPr>
        <w:lastRenderedPageBreak/>
        <w:t>Preferred Qualifications:</w:t>
      </w:r>
    </w:p>
    <w:p w14:paraId="44962761" w14:textId="77777777" w:rsidR="004C6FBA" w:rsidRDefault="004C6FBA" w:rsidP="004C6FBA">
      <w:pPr>
        <w:pStyle w:val="NormalWeb"/>
        <w:numPr>
          <w:ilvl w:val="0"/>
          <w:numId w:val="3"/>
        </w:numPr>
      </w:pPr>
      <w:r>
        <w:t>Prior experience advancing novel immunology therapeutics through early proof-of-concept.</w:t>
      </w:r>
    </w:p>
    <w:p w14:paraId="4F719066" w14:textId="77777777" w:rsidR="004C6FBA" w:rsidRDefault="004C6FBA" w:rsidP="004C6FBA">
      <w:pPr>
        <w:pStyle w:val="NormalWeb"/>
        <w:numPr>
          <w:ilvl w:val="0"/>
          <w:numId w:val="3"/>
        </w:numPr>
      </w:pPr>
      <w:r>
        <w:t>Established relationships with leading immunology investigators and KOLs.</w:t>
      </w:r>
    </w:p>
    <w:p w14:paraId="52BD82ED" w14:textId="77777777" w:rsidR="004C6FBA" w:rsidRDefault="004C6FBA" w:rsidP="004C6FBA">
      <w:pPr>
        <w:pStyle w:val="NormalWeb"/>
        <w:numPr>
          <w:ilvl w:val="0"/>
          <w:numId w:val="3"/>
        </w:numPr>
      </w:pPr>
      <w:r>
        <w:t>Experience in translational and biomarker-driven trial design.</w:t>
      </w:r>
    </w:p>
    <w:p w14:paraId="4B54B130" w14:textId="77777777" w:rsidR="004C6FBA" w:rsidRDefault="004C6FBA" w:rsidP="004C6FBA">
      <w:pPr>
        <w:pStyle w:val="NormalWeb"/>
      </w:pPr>
      <w:r>
        <w:rPr>
          <w:rStyle w:val="Strong"/>
          <w:rFonts w:eastAsiaTheme="majorEastAsia"/>
        </w:rPr>
        <w:t>Compensation:</w:t>
      </w:r>
      <w:r>
        <w:br/>
        <w:t>$395,000 – $440,000 base salary, plus target bonus, equity participation, and comprehensive benefits (medical, dental, vision, 401k). Final package will be determined based on experience, skills, and education.</w:t>
      </w:r>
    </w:p>
    <w:p w14:paraId="747D933C" w14:textId="77777777" w:rsidR="00F90CB3" w:rsidRDefault="00F90CB3"/>
    <w:sectPr w:rsidR="00F90CB3" w:rsidSect="004C6F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4D0D"/>
    <w:multiLevelType w:val="multilevel"/>
    <w:tmpl w:val="644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D1D93"/>
    <w:multiLevelType w:val="multilevel"/>
    <w:tmpl w:val="9D1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051EE"/>
    <w:multiLevelType w:val="multilevel"/>
    <w:tmpl w:val="CDF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235148">
    <w:abstractNumId w:val="2"/>
  </w:num>
  <w:num w:numId="2" w16cid:durableId="2050301476">
    <w:abstractNumId w:val="1"/>
  </w:num>
  <w:num w:numId="3" w16cid:durableId="78473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FBA"/>
    <w:rsid w:val="003E5D82"/>
    <w:rsid w:val="004C6FBA"/>
    <w:rsid w:val="00801453"/>
    <w:rsid w:val="00944F6F"/>
    <w:rsid w:val="00A00EA2"/>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1CDF"/>
  <w15:chartTrackingRefBased/>
  <w15:docId w15:val="{A2ED64A5-1229-42D0-ADB7-B9B77BE5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FBA"/>
    <w:rPr>
      <w:rFonts w:eastAsiaTheme="majorEastAsia" w:cstheme="majorBidi"/>
      <w:color w:val="272727" w:themeColor="text1" w:themeTint="D8"/>
    </w:rPr>
  </w:style>
  <w:style w:type="paragraph" w:styleId="Title">
    <w:name w:val="Title"/>
    <w:basedOn w:val="Normal"/>
    <w:next w:val="Normal"/>
    <w:link w:val="TitleChar"/>
    <w:uiPriority w:val="10"/>
    <w:qFormat/>
    <w:rsid w:val="004C6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FBA"/>
    <w:pPr>
      <w:spacing w:before="160"/>
      <w:jc w:val="center"/>
    </w:pPr>
    <w:rPr>
      <w:i/>
      <w:iCs/>
      <w:color w:val="404040" w:themeColor="text1" w:themeTint="BF"/>
    </w:rPr>
  </w:style>
  <w:style w:type="character" w:customStyle="1" w:styleId="QuoteChar">
    <w:name w:val="Quote Char"/>
    <w:basedOn w:val="DefaultParagraphFont"/>
    <w:link w:val="Quote"/>
    <w:uiPriority w:val="29"/>
    <w:rsid w:val="004C6FBA"/>
    <w:rPr>
      <w:i/>
      <w:iCs/>
      <w:color w:val="404040" w:themeColor="text1" w:themeTint="BF"/>
    </w:rPr>
  </w:style>
  <w:style w:type="paragraph" w:styleId="ListParagraph">
    <w:name w:val="List Paragraph"/>
    <w:basedOn w:val="Normal"/>
    <w:uiPriority w:val="34"/>
    <w:qFormat/>
    <w:rsid w:val="004C6FBA"/>
    <w:pPr>
      <w:ind w:left="720"/>
      <w:contextualSpacing/>
    </w:pPr>
  </w:style>
  <w:style w:type="character" w:styleId="IntenseEmphasis">
    <w:name w:val="Intense Emphasis"/>
    <w:basedOn w:val="DefaultParagraphFont"/>
    <w:uiPriority w:val="21"/>
    <w:qFormat/>
    <w:rsid w:val="004C6FBA"/>
    <w:rPr>
      <w:i/>
      <w:iCs/>
      <w:color w:val="0F4761" w:themeColor="accent1" w:themeShade="BF"/>
    </w:rPr>
  </w:style>
  <w:style w:type="paragraph" w:styleId="IntenseQuote">
    <w:name w:val="Intense Quote"/>
    <w:basedOn w:val="Normal"/>
    <w:next w:val="Normal"/>
    <w:link w:val="IntenseQuoteChar"/>
    <w:uiPriority w:val="30"/>
    <w:qFormat/>
    <w:rsid w:val="004C6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FBA"/>
    <w:rPr>
      <w:i/>
      <w:iCs/>
      <w:color w:val="0F4761" w:themeColor="accent1" w:themeShade="BF"/>
    </w:rPr>
  </w:style>
  <w:style w:type="character" w:styleId="IntenseReference">
    <w:name w:val="Intense Reference"/>
    <w:basedOn w:val="DefaultParagraphFont"/>
    <w:uiPriority w:val="32"/>
    <w:qFormat/>
    <w:rsid w:val="004C6FBA"/>
    <w:rPr>
      <w:b/>
      <w:bCs/>
      <w:smallCaps/>
      <w:color w:val="0F4761" w:themeColor="accent1" w:themeShade="BF"/>
      <w:spacing w:val="5"/>
    </w:rPr>
  </w:style>
  <w:style w:type="paragraph" w:styleId="NormalWeb">
    <w:name w:val="Normal (Web)"/>
    <w:basedOn w:val="Normal"/>
    <w:uiPriority w:val="99"/>
    <w:semiHidden/>
    <w:unhideWhenUsed/>
    <w:rsid w:val="004C6F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6F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6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7DAA1-E240-4E04-B784-5333B5AD8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2025-10-01T18:38:00Z</dcterms:created>
  <dcterms:modified xsi:type="dcterms:W3CDTF">2025-10-01T18:42:00Z</dcterms:modified>
</cp:coreProperties>
</file>