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FE97" w14:textId="77777777" w:rsidR="009935C1" w:rsidRDefault="009935C1" w:rsidP="009935C1">
      <w:pPr>
        <w:pStyle w:val="NormalWeb"/>
        <w:spacing w:before="0" w:beforeAutospacing="0" w:after="0" w:afterAutospacing="0"/>
        <w:rPr>
          <w:rStyle w:val="Strong"/>
          <w:u w:val="single"/>
        </w:rPr>
      </w:pPr>
      <w:r>
        <w:rPr>
          <w:noProof/>
        </w:rPr>
        <w:drawing>
          <wp:inline distT="0" distB="0" distL="0" distR="0" wp14:anchorId="73002344" wp14:editId="1D8CC926">
            <wp:extent cx="3714750" cy="1028700"/>
            <wp:effectExtent l="0" t="0" r="0" b="0"/>
            <wp:docPr id="194014003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0033" name="Picture 1" descr="A close-up of a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4750" cy="1028700"/>
                    </a:xfrm>
                    <a:prstGeom prst="rect">
                      <a:avLst/>
                    </a:prstGeom>
                    <a:noFill/>
                    <a:ln>
                      <a:noFill/>
                    </a:ln>
                  </pic:spPr>
                </pic:pic>
              </a:graphicData>
            </a:graphic>
          </wp:inline>
        </w:drawing>
      </w:r>
    </w:p>
    <w:p w14:paraId="3C15B379" w14:textId="77777777" w:rsidR="009935C1" w:rsidRDefault="009935C1" w:rsidP="009935C1">
      <w:pPr>
        <w:pStyle w:val="NormalWeb"/>
        <w:spacing w:before="0" w:beforeAutospacing="0" w:after="0" w:afterAutospacing="0"/>
        <w:rPr>
          <w:rStyle w:val="Strong"/>
          <w:u w:val="single"/>
        </w:rPr>
      </w:pPr>
    </w:p>
    <w:p w14:paraId="21F571A0" w14:textId="3969AEAF" w:rsidR="00FC1F78" w:rsidRPr="00905084" w:rsidRDefault="00FC1F78" w:rsidP="009935C1">
      <w:pPr>
        <w:pStyle w:val="NormalWeb"/>
        <w:ind w:left="-450"/>
        <w:rPr>
          <w:rStyle w:val="Strong"/>
          <w:rFonts w:asciiTheme="minorHAnsi" w:hAnsiTheme="minorHAnsi" w:cstheme="minorHAnsi"/>
          <w:sz w:val="24"/>
          <w:szCs w:val="24"/>
          <w:u w:val="single"/>
        </w:rPr>
      </w:pPr>
      <w:r w:rsidRPr="00905084">
        <w:rPr>
          <w:rStyle w:val="Strong"/>
          <w:rFonts w:asciiTheme="minorHAnsi" w:hAnsiTheme="minorHAnsi" w:cstheme="minorHAnsi"/>
          <w:sz w:val="24"/>
          <w:szCs w:val="24"/>
          <w:u w:val="single"/>
        </w:rPr>
        <w:t>Medical Director</w:t>
      </w:r>
    </w:p>
    <w:p w14:paraId="31C200B0" w14:textId="56AE0707" w:rsidR="009935C1" w:rsidRPr="00905084" w:rsidRDefault="009935C1" w:rsidP="009935C1">
      <w:pPr>
        <w:pStyle w:val="NormalWeb"/>
        <w:ind w:left="-450"/>
        <w:rPr>
          <w:rFonts w:asciiTheme="minorHAnsi" w:hAnsiTheme="minorHAnsi" w:cstheme="minorHAnsi"/>
          <w:sz w:val="24"/>
          <w:szCs w:val="24"/>
        </w:rPr>
      </w:pPr>
      <w:r w:rsidRPr="00905084">
        <w:rPr>
          <w:rFonts w:asciiTheme="minorHAnsi" w:hAnsiTheme="minorHAnsi" w:cstheme="minorHAnsi"/>
          <w:sz w:val="24"/>
          <w:szCs w:val="24"/>
        </w:rPr>
        <w:t>The Medical Director will serve as the primary medical lead for Karyopharm clinical trials with cross-functional study teams on clinical trial strategy, design and execution. Along with this, the Medical Director will serve as the primary Medical Monitor responsible for monitoring the safety of enrolled subjects on assigned trials.</w:t>
      </w:r>
    </w:p>
    <w:p w14:paraId="7AA124F1" w14:textId="77777777" w:rsidR="009935C1" w:rsidRPr="00905084" w:rsidRDefault="009935C1" w:rsidP="009935C1">
      <w:pPr>
        <w:pStyle w:val="NormalWeb"/>
        <w:spacing w:before="0" w:beforeAutospacing="0" w:after="0" w:afterAutospacing="0"/>
        <w:rPr>
          <w:rFonts w:asciiTheme="minorHAnsi" w:hAnsiTheme="minorHAnsi" w:cstheme="minorHAnsi"/>
          <w:sz w:val="24"/>
          <w:szCs w:val="24"/>
        </w:rPr>
      </w:pPr>
      <w:r w:rsidRPr="00905084">
        <w:rPr>
          <w:rFonts w:asciiTheme="minorHAnsi" w:hAnsiTheme="minorHAnsi" w:cstheme="minorHAnsi"/>
          <w:sz w:val="24"/>
          <w:szCs w:val="24"/>
        </w:rPr>
        <w:t> </w:t>
      </w:r>
    </w:p>
    <w:p w14:paraId="13133CEC" w14:textId="04BEFFD4" w:rsidR="009935C1" w:rsidRPr="00905084" w:rsidRDefault="009935C1" w:rsidP="009935C1">
      <w:pPr>
        <w:pStyle w:val="NormalWeb"/>
        <w:spacing w:before="0" w:beforeAutospacing="0" w:after="0" w:afterAutospacing="0"/>
        <w:rPr>
          <w:rFonts w:asciiTheme="minorHAnsi" w:hAnsiTheme="minorHAnsi" w:cstheme="minorHAnsi"/>
          <w:sz w:val="24"/>
          <w:szCs w:val="24"/>
        </w:rPr>
      </w:pPr>
      <w:r w:rsidRPr="00905084">
        <w:rPr>
          <w:rFonts w:asciiTheme="minorHAnsi" w:hAnsiTheme="minorHAnsi" w:cstheme="minorHAnsi"/>
          <w:sz w:val="24"/>
          <w:szCs w:val="24"/>
        </w:rPr>
        <w:t>Reporting to </w:t>
      </w:r>
      <w:r w:rsidRPr="00905084">
        <w:rPr>
          <w:rStyle w:val="cf0"/>
          <w:rFonts w:asciiTheme="minorHAnsi" w:hAnsiTheme="minorHAnsi" w:cstheme="minorHAnsi"/>
          <w:sz w:val="24"/>
          <w:szCs w:val="24"/>
        </w:rPr>
        <w:t xml:space="preserve">the </w:t>
      </w:r>
      <w:r w:rsidR="00905084" w:rsidRPr="00905084">
        <w:rPr>
          <w:rStyle w:val="cf0"/>
          <w:rFonts w:asciiTheme="minorHAnsi" w:hAnsiTheme="minorHAnsi" w:cstheme="minorHAnsi"/>
          <w:sz w:val="24"/>
          <w:szCs w:val="24"/>
        </w:rPr>
        <w:t>Senior Medical Director of Clinical Development</w:t>
      </w:r>
      <w:r w:rsidRPr="00905084">
        <w:rPr>
          <w:rStyle w:val="cf0"/>
          <w:rFonts w:asciiTheme="minorHAnsi" w:hAnsiTheme="minorHAnsi" w:cstheme="minorHAnsi"/>
          <w:sz w:val="24"/>
          <w:szCs w:val="24"/>
        </w:rPr>
        <w:t xml:space="preserve">, </w:t>
      </w:r>
      <w:r w:rsidRPr="00905084">
        <w:rPr>
          <w:rFonts w:asciiTheme="minorHAnsi" w:hAnsiTheme="minorHAnsi" w:cstheme="minorHAnsi"/>
          <w:sz w:val="24"/>
          <w:szCs w:val="24"/>
        </w:rPr>
        <w:t>you will positively impact patients’ when you:</w:t>
      </w:r>
    </w:p>
    <w:p w14:paraId="6414D784"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Participate in the development of Study Protocols, Investigator's Brochures, Clinical Development Plans and other key study documents in conjunction with other line functions and with minimal guidance.</w:t>
      </w:r>
    </w:p>
    <w:p w14:paraId="0E9CBC1F"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Serve on cross-functional teams for assigned trials, working with other team members to achieve efficient, high-quality study execution.</w:t>
      </w:r>
    </w:p>
    <w:p w14:paraId="2DE9AA95"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Participate in the preparation of regulatory documents in support of regulatory submissions, including clinical section of IND’s and CTA’s, IND safety reports and annual reports for assigned trials, responses to regulatory authorities and Ethics Committees/IRBs, and other documents as appropriate.</w:t>
      </w:r>
    </w:p>
    <w:p w14:paraId="7841EE3E"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Provide scientific and clinical input to study-related documents and analysis plans including Informed consent forms (ICF), clinical research forms (CRF), statistical analysis plans (SAP), clinical pharmacology analysis plans (CPAP), and clinical study reports (CSR).</w:t>
      </w:r>
    </w:p>
    <w:p w14:paraId="145DB1BE"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Act as liaison between Clinical Development and other internal groups at Karyopharm (e.g., Regulatory Affairs, Clinical Operations, Clinical Data Management) for assigned studies.</w:t>
      </w:r>
    </w:p>
    <w:p w14:paraId="69788B2E"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Develop and execute life-cycle management plan, lead data generation activities such as medical affairs studies to unmet medical needs and data gaps</w:t>
      </w:r>
    </w:p>
    <w:p w14:paraId="508056A6"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Support Medical Affairs: Working with field medical, Scientific Communication and Publication, Medical Information and Communication teams and provide support including reactive material development to address external stakeholder questions</w:t>
      </w:r>
    </w:p>
    <w:p w14:paraId="66891091"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lastRenderedPageBreak/>
        <w:t>Help identify and effectively interact with thought leaders to engage in scientific and medical exchange as well as understand unmet medical needs and data gaps</w:t>
      </w:r>
    </w:p>
    <w:p w14:paraId="334D8AF4"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Maintain a high level of clinical and scientific expertise in the disease area(s) by reviewing the literature, attending medical/scientific meetings, and through personal interchanges with consultants, thought leaders, investigators and internal stakeholder.</w:t>
      </w:r>
    </w:p>
    <w:p w14:paraId="40D88B48"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Author manuscripts and collaborate with cross-functional colleagues and thought leaders to meet publication plan objectives</w:t>
      </w:r>
    </w:p>
    <w:p w14:paraId="4E641E6D"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Maintain ethical standards of the highest level and have the knowledge and ability to comply with all relevant ethical, regulatory, and legal standards</w:t>
      </w:r>
    </w:p>
    <w:p w14:paraId="71F00A32"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May participate in or lead clinical development contributions to due diligence or other business development activity</w:t>
      </w:r>
    </w:p>
    <w:p w14:paraId="20C40EC3"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Present at scientific, medical and regulatory meetings globally</w:t>
      </w:r>
    </w:p>
    <w:p w14:paraId="1C770637" w14:textId="77777777" w:rsidR="009935C1" w:rsidRPr="00905084" w:rsidRDefault="009935C1" w:rsidP="009935C1">
      <w:pPr>
        <w:numPr>
          <w:ilvl w:val="0"/>
          <w:numId w:val="2"/>
        </w:numPr>
        <w:spacing w:before="100" w:beforeAutospacing="1" w:after="100" w:afterAutospacing="1"/>
        <w:ind w:left="1710"/>
        <w:rPr>
          <w:rFonts w:asciiTheme="minorHAnsi" w:hAnsiTheme="minorHAnsi" w:cstheme="minorHAnsi"/>
          <w:sz w:val="24"/>
          <w:szCs w:val="24"/>
        </w:rPr>
      </w:pPr>
      <w:r w:rsidRPr="00905084">
        <w:rPr>
          <w:rFonts w:asciiTheme="minorHAnsi" w:hAnsiTheme="minorHAnsi" w:cstheme="minorHAnsi"/>
          <w:sz w:val="24"/>
          <w:szCs w:val="24"/>
        </w:rPr>
        <w:t>Develop and maintain relationships with academic investigators, pharmaceutical partners/sponsors, KOL’s, and patient advocacy groups</w:t>
      </w:r>
    </w:p>
    <w:p w14:paraId="1D362860" w14:textId="6D80663F" w:rsidR="009935C1" w:rsidRPr="00905084" w:rsidRDefault="009935C1" w:rsidP="009935C1">
      <w:pPr>
        <w:rPr>
          <w:rFonts w:asciiTheme="minorHAnsi" w:hAnsiTheme="minorHAnsi" w:cstheme="minorHAnsi"/>
          <w:sz w:val="24"/>
          <w:szCs w:val="24"/>
        </w:rPr>
      </w:pPr>
      <w:r w:rsidRPr="00905084">
        <w:rPr>
          <w:rFonts w:asciiTheme="minorHAnsi" w:hAnsiTheme="minorHAnsi" w:cstheme="minorHAnsi"/>
          <w:sz w:val="24"/>
          <w:szCs w:val="24"/>
        </w:rPr>
        <w:t> </w:t>
      </w:r>
      <w:r w:rsidR="00905084" w:rsidRPr="00905084">
        <w:rPr>
          <w:rFonts w:asciiTheme="minorHAnsi" w:hAnsiTheme="minorHAnsi" w:cstheme="minorHAnsi"/>
          <w:sz w:val="24"/>
          <w:szCs w:val="24"/>
        </w:rPr>
        <w:t>Qualifications</w:t>
      </w:r>
    </w:p>
    <w:p w14:paraId="41B7ADC9" w14:textId="2256E2BB"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color w:val="000000"/>
          <w:sz w:val="24"/>
          <w:szCs w:val="24"/>
        </w:rPr>
        <w:t>MD,</w:t>
      </w:r>
      <w:r w:rsidR="00B24DA3">
        <w:rPr>
          <w:rFonts w:asciiTheme="minorHAnsi" w:hAnsiTheme="minorHAnsi" w:cstheme="minorHAnsi"/>
          <w:color w:val="000000"/>
          <w:sz w:val="24"/>
          <w:szCs w:val="24"/>
        </w:rPr>
        <w:t xml:space="preserve"> </w:t>
      </w:r>
      <w:r w:rsidRPr="00905084">
        <w:rPr>
          <w:rFonts w:asciiTheme="minorHAnsi" w:hAnsiTheme="minorHAnsi" w:cstheme="minorHAnsi"/>
          <w:sz w:val="24"/>
          <w:szCs w:val="24"/>
        </w:rPr>
        <w:t xml:space="preserve">DO </w:t>
      </w:r>
      <w:r w:rsidR="00B24DA3">
        <w:rPr>
          <w:rFonts w:asciiTheme="minorHAnsi" w:hAnsiTheme="minorHAnsi" w:cstheme="minorHAnsi"/>
          <w:sz w:val="24"/>
          <w:szCs w:val="24"/>
        </w:rPr>
        <w:t>or PhD</w:t>
      </w:r>
    </w:p>
    <w:p w14:paraId="3E92D9BA"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5+ years clinical trial experience in an academic or industrial setting, with experience in analysis of research data and publications; working knowledge of biostatistics and pharmacokinetics; working knowledge of GCP, scientific and clinical research methods and clinical study design, regulatory requirements for clinical studies;</w:t>
      </w:r>
    </w:p>
    <w:p w14:paraId="22B78904"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At least 3 years as an attending physician in oncology, hematology, internal medicine, or relevant medical specialty area;</w:t>
      </w:r>
    </w:p>
    <w:p w14:paraId="76102D20"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Cancer research experience</w:t>
      </w:r>
    </w:p>
    <w:p w14:paraId="65A01A2F"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Pharmaceutical/Biotech industry experience, including time managing clinical trials and/or clinical development program(s) </w:t>
      </w:r>
    </w:p>
    <w:p w14:paraId="4A197D20"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Excellent oral and written communication skills</w:t>
      </w:r>
    </w:p>
    <w:p w14:paraId="4EE21EB9" w14:textId="77777777" w:rsidR="009935C1" w:rsidRPr="00905084" w:rsidRDefault="009935C1" w:rsidP="009935C1">
      <w:pPr>
        <w:numPr>
          <w:ilvl w:val="0"/>
          <w:numId w:val="3"/>
        </w:numPr>
        <w:spacing w:before="100" w:beforeAutospacing="1" w:after="100" w:afterAutospacing="1"/>
        <w:rPr>
          <w:rFonts w:asciiTheme="minorHAnsi" w:hAnsiTheme="minorHAnsi" w:cstheme="minorHAnsi"/>
          <w:sz w:val="24"/>
          <w:szCs w:val="24"/>
        </w:rPr>
      </w:pPr>
      <w:r w:rsidRPr="00905084">
        <w:rPr>
          <w:rFonts w:asciiTheme="minorHAnsi" w:hAnsiTheme="minorHAnsi" w:cstheme="minorHAnsi"/>
          <w:sz w:val="24"/>
          <w:szCs w:val="24"/>
        </w:rPr>
        <w:t>Ability to work collaboratively in a fast-paced, team-based matrix environment and to function independently as appropriate</w:t>
      </w:r>
    </w:p>
    <w:p w14:paraId="7704D94B" w14:textId="77777777" w:rsidR="004F6979" w:rsidRPr="00905084" w:rsidRDefault="004F6979">
      <w:pPr>
        <w:rPr>
          <w:rFonts w:asciiTheme="minorHAnsi" w:hAnsiTheme="minorHAnsi" w:cstheme="minorHAnsi"/>
          <w:sz w:val="24"/>
          <w:szCs w:val="24"/>
        </w:rPr>
      </w:pPr>
    </w:p>
    <w:sectPr w:rsidR="004F6979" w:rsidRPr="00905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395"/>
    <w:multiLevelType w:val="multilevel"/>
    <w:tmpl w:val="963CF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7AF9"/>
    <w:multiLevelType w:val="multilevel"/>
    <w:tmpl w:val="C9CE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266EB"/>
    <w:multiLevelType w:val="multilevel"/>
    <w:tmpl w:val="1D967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89540672">
    <w:abstractNumId w:val="0"/>
  </w:num>
  <w:num w:numId="2" w16cid:durableId="1160194597">
    <w:abstractNumId w:val="1"/>
  </w:num>
  <w:num w:numId="3" w16cid:durableId="297222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C1"/>
    <w:rsid w:val="004045A3"/>
    <w:rsid w:val="004F6979"/>
    <w:rsid w:val="005A117F"/>
    <w:rsid w:val="006460DB"/>
    <w:rsid w:val="00905084"/>
    <w:rsid w:val="00964284"/>
    <w:rsid w:val="009935C1"/>
    <w:rsid w:val="00B24DA3"/>
    <w:rsid w:val="00EE7C90"/>
    <w:rsid w:val="00F02E9A"/>
    <w:rsid w:val="00FC1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7B75"/>
  <w15:chartTrackingRefBased/>
  <w15:docId w15:val="{A3C5A719-1EE3-4A3A-911D-EB6D9375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5C1"/>
    <w:pPr>
      <w:spacing w:after="0" w:line="240" w:lineRule="auto"/>
    </w:pPr>
    <w:rPr>
      <w:rFonts w:ascii="Calibri" w:hAnsi="Calibri" w:cs="Calibri"/>
      <w:kern w:val="0"/>
      <w14:ligatures w14:val="none"/>
    </w:rPr>
  </w:style>
  <w:style w:type="paragraph" w:styleId="Heading2">
    <w:name w:val="heading 2"/>
    <w:basedOn w:val="Normal"/>
    <w:link w:val="Heading2Char"/>
    <w:uiPriority w:val="9"/>
    <w:semiHidden/>
    <w:unhideWhenUsed/>
    <w:qFormat/>
    <w:rsid w:val="009935C1"/>
    <w:pPr>
      <w:spacing w:before="100" w:beforeAutospacing="1" w:after="100" w:afterAutospacing="1"/>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935C1"/>
    <w:rPr>
      <w:rFonts w:ascii="Calibri" w:eastAsia="Times New Roman" w:hAnsi="Calibri" w:cs="Calibri"/>
      <w:b/>
      <w:bCs/>
      <w:kern w:val="0"/>
      <w:sz w:val="36"/>
      <w:szCs w:val="36"/>
      <w14:ligatures w14:val="none"/>
    </w:rPr>
  </w:style>
  <w:style w:type="character" w:styleId="Hyperlink">
    <w:name w:val="Hyperlink"/>
    <w:basedOn w:val="DefaultParagraphFont"/>
    <w:uiPriority w:val="99"/>
    <w:semiHidden/>
    <w:unhideWhenUsed/>
    <w:rsid w:val="009935C1"/>
    <w:rPr>
      <w:color w:val="0000FF"/>
      <w:u w:val="single"/>
    </w:rPr>
  </w:style>
  <w:style w:type="paragraph" w:styleId="NormalWeb">
    <w:name w:val="Normal (Web)"/>
    <w:basedOn w:val="Normal"/>
    <w:uiPriority w:val="99"/>
    <w:semiHidden/>
    <w:unhideWhenUsed/>
    <w:rsid w:val="009935C1"/>
    <w:pPr>
      <w:spacing w:before="100" w:beforeAutospacing="1" w:after="100" w:afterAutospacing="1"/>
    </w:pPr>
  </w:style>
  <w:style w:type="character" w:customStyle="1" w:styleId="cf0">
    <w:name w:val="cf0"/>
    <w:basedOn w:val="DefaultParagraphFont"/>
    <w:rsid w:val="009935C1"/>
  </w:style>
  <w:style w:type="character" w:styleId="Strong">
    <w:name w:val="Strong"/>
    <w:basedOn w:val="DefaultParagraphFont"/>
    <w:uiPriority w:val="22"/>
    <w:qFormat/>
    <w:rsid w:val="00993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2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Amera Cruz</dc:creator>
  <cp:keywords/>
  <dc:description/>
  <cp:lastModifiedBy>Deryn Fishman</cp:lastModifiedBy>
  <cp:revision>7</cp:revision>
  <dcterms:created xsi:type="dcterms:W3CDTF">2023-10-18T17:24:00Z</dcterms:created>
  <dcterms:modified xsi:type="dcterms:W3CDTF">2026-02-02T17:28:00Z</dcterms:modified>
</cp:coreProperties>
</file>