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5651" w14:textId="10F4CF11" w:rsidR="00F556AB" w:rsidRPr="00122B85" w:rsidRDefault="00F556AB" w:rsidP="00F556A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>Sr. Director, Market Access Strategy</w:t>
      </w:r>
      <w:r w:rsidR="004722B3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- </w:t>
      </w:r>
      <w:r w:rsidR="00293319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>Heme (Casgevy)</w:t>
      </w:r>
      <w:r w:rsidR="00DC57FD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 – </w:t>
      </w:r>
      <w:r w:rsidR="00293319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>March 2025</w:t>
      </w:r>
    </w:p>
    <w:p w14:paraId="4C0BC9C0" w14:textId="77777777" w:rsidR="00122B85" w:rsidRPr="00122B85" w:rsidRDefault="006476E6" w:rsidP="00122B85">
      <w:pPr>
        <w:pStyle w:val="NormalWeb"/>
        <w:shd w:val="clear" w:color="auto" w:fill="FFFFFF" w:themeFill="background1"/>
        <w:spacing w:after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122B85">
        <w:rPr>
          <w:rFonts w:asciiTheme="minorHAnsi" w:hAnsiTheme="minorHAnsi" w:cstheme="minorHAnsi"/>
          <w:sz w:val="20"/>
          <w:szCs w:val="20"/>
        </w:rPr>
        <w:t>Vertex currently operates at the forefront of rare disease scientific innovation and has successfully developed and commercialized multiple breakthrough medicines for Cystic Fibrosis (CF), Sickle Cell Disease and Transfusion-Dependent Beta Thalassemia. In addition to clinical development programs in CF, Vertex has more than a dozen ongoing research programs focused on the underlying mechanisms of other serious diseases including programs in Pain, Type 1 diabetes, IgA Nephropathy (IgAN), APOL-1 Mediated Kidney Disease, and Duchenne Muscular Dystrophy, among others.</w:t>
      </w:r>
    </w:p>
    <w:p w14:paraId="4D55F9A6" w14:textId="7082267F" w:rsidR="008D16F0" w:rsidRPr="00122B85" w:rsidRDefault="008D16F0" w:rsidP="00122B85">
      <w:pPr>
        <w:pStyle w:val="NormalWeb"/>
        <w:shd w:val="clear" w:color="auto" w:fill="FFFFFF" w:themeFill="background1"/>
        <w:spacing w:after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122B85">
        <w:rPr>
          <w:rFonts w:asciiTheme="minorHAnsi" w:hAnsiTheme="minorHAnsi" w:cstheme="minorHAnsi"/>
          <w:color w:val="000000" w:themeColor="text1"/>
          <w:sz w:val="20"/>
          <w:szCs w:val="20"/>
        </w:rPr>
        <w:t>The</w:t>
      </w:r>
      <w:r w:rsidRPr="00122B8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Sr. Director,</w:t>
      </w:r>
      <w:r w:rsidRPr="00122B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122B8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Market Access Strategy – </w:t>
      </w:r>
      <w:r w:rsidR="00293319" w:rsidRPr="00122B8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Heme</w:t>
      </w:r>
      <w:r w:rsidRPr="00122B8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122B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is accountable for leading and overseeing the development of Market Access (MA) strategies, tactical support programs and overall execution of access resources across all payer channels for </w:t>
      </w:r>
      <w:r w:rsidR="00AD4322" w:rsidRPr="00122B85">
        <w:rPr>
          <w:rFonts w:asciiTheme="minorHAnsi" w:hAnsiTheme="minorHAnsi" w:cstheme="minorHAnsi"/>
          <w:color w:val="000000" w:themeColor="text1"/>
          <w:sz w:val="20"/>
          <w:szCs w:val="20"/>
        </w:rPr>
        <w:t>Casgevy.</w:t>
      </w:r>
      <w:r w:rsidRPr="00122B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122B85">
        <w:rPr>
          <w:rFonts w:asciiTheme="minorHAnsi" w:hAnsiTheme="minorHAnsi" w:cstheme="minorHAnsi"/>
          <w:color w:val="000000" w:themeColor="text1"/>
          <w:sz w:val="20"/>
          <w:szCs w:val="20"/>
          <w:lang w:eastAsia="en-GB"/>
        </w:rPr>
        <w:t xml:space="preserve">This role requires a significant degree of collaboration, influencing and driving strategic alignment across multiple functions (Account Management, Trade, Pricing &amp; Contracting, US Public Affairs, HEOR, New Product Planning, Global </w:t>
      </w:r>
      <w:r w:rsidR="00251018" w:rsidRPr="00122B85">
        <w:rPr>
          <w:rFonts w:asciiTheme="minorHAnsi" w:hAnsiTheme="minorHAnsi" w:cstheme="minorHAnsi"/>
          <w:color w:val="000000" w:themeColor="text1"/>
          <w:sz w:val="20"/>
          <w:szCs w:val="20"/>
          <w:lang w:eastAsia="en-GB"/>
        </w:rPr>
        <w:t xml:space="preserve">Value </w:t>
      </w:r>
      <w:r w:rsidR="00A7144F" w:rsidRPr="00122B85">
        <w:rPr>
          <w:rFonts w:asciiTheme="minorHAnsi" w:hAnsiTheme="minorHAnsi" w:cstheme="minorHAnsi"/>
          <w:color w:val="000000" w:themeColor="text1"/>
          <w:sz w:val="20"/>
          <w:szCs w:val="20"/>
          <w:lang w:eastAsia="en-GB"/>
        </w:rPr>
        <w:t>&amp; access Strategy (GVAS</w:t>
      </w:r>
      <w:r w:rsidRPr="00122B85">
        <w:rPr>
          <w:rFonts w:asciiTheme="minorHAnsi" w:hAnsiTheme="minorHAnsi" w:cstheme="minorHAnsi"/>
          <w:color w:val="000000" w:themeColor="text1"/>
          <w:sz w:val="20"/>
          <w:szCs w:val="20"/>
          <w:lang w:eastAsia="en-GB"/>
        </w:rPr>
        <w:t>), and Marketing).</w:t>
      </w:r>
    </w:p>
    <w:p w14:paraId="377B4751" w14:textId="01C7BC17" w:rsidR="00F556AB" w:rsidRPr="00122B85" w:rsidRDefault="00F556AB" w:rsidP="00F556A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bdr w:val="none" w:sz="0" w:space="0" w:color="auto" w:frame="1"/>
          <w:lang w:eastAsia="en-GB"/>
        </w:rPr>
      </w:pP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bdr w:val="none" w:sz="0" w:space="0" w:color="auto" w:frame="1"/>
          <w:lang w:eastAsia="en-GB"/>
        </w:rPr>
        <w:t>Key Duties and Responsibilities:</w:t>
      </w:r>
    </w:p>
    <w:p w14:paraId="2183ED60" w14:textId="03906D96" w:rsidR="006C3D05" w:rsidRPr="00122B85" w:rsidRDefault="00F556AB" w:rsidP="001249C1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Provide critical leadership in developing brand and market access strategies by payer channel, to support patient access </w:t>
      </w:r>
      <w:r w:rsidR="003E70CC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for </w:t>
      </w:r>
      <w:r w:rsidR="00AD432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Casgevy </w:t>
      </w:r>
      <w:r w:rsidR="0053012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in </w:t>
      </w:r>
      <w:r w:rsidR="00963C27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the creation </w:t>
      </w:r>
      <w:r w:rsidR="006C3D05" w:rsidRPr="00122B85">
        <w:rPr>
          <w:rFonts w:eastAsia="Times New Roman" w:cstheme="minorHAnsi"/>
          <w:color w:val="000000" w:themeColor="text1"/>
          <w:sz w:val="20"/>
          <w:szCs w:val="20"/>
        </w:rPr>
        <w:t xml:space="preserve">and </w:t>
      </w:r>
      <w:r w:rsidR="00963C27" w:rsidRPr="00122B85">
        <w:rPr>
          <w:rFonts w:eastAsia="Times New Roman" w:cstheme="minorHAnsi"/>
          <w:color w:val="000000" w:themeColor="text1"/>
          <w:sz w:val="20"/>
          <w:szCs w:val="20"/>
        </w:rPr>
        <w:t>delivery of</w:t>
      </w:r>
      <w:r w:rsidR="006C3D05" w:rsidRPr="00122B85">
        <w:rPr>
          <w:rFonts w:eastAsia="Times New Roman" w:cstheme="minorHAnsi"/>
          <w:color w:val="000000" w:themeColor="text1"/>
          <w:sz w:val="20"/>
          <w:szCs w:val="20"/>
        </w:rPr>
        <w:t xml:space="preserve"> impactful market access resources</w:t>
      </w:r>
    </w:p>
    <w:p w14:paraId="313CF4ED" w14:textId="3C02E2EC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Coach/</w:t>
      </w:r>
      <w:r w:rsidR="00D033AB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p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layer mindset to lead a team to ensure all strategies and tactics are well thought through and aligned to overarching brand strategy</w:t>
      </w:r>
    </w:p>
    <w:p w14:paraId="55C84783" w14:textId="1A367CB8" w:rsidR="004A48FB" w:rsidRPr="00122B85" w:rsidRDefault="00122B85" w:rsidP="004A48F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>
        <w:rPr>
          <w:rFonts w:eastAsia="Times New Roman" w:cstheme="minorHAnsi"/>
          <w:color w:val="000000" w:themeColor="text1"/>
          <w:sz w:val="20"/>
          <w:szCs w:val="20"/>
          <w:lang w:eastAsia="en-GB"/>
        </w:rPr>
        <w:t>P</w:t>
      </w:r>
      <w:r w:rsidR="004A48FB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lay</w:t>
      </w:r>
      <w:r>
        <w:rPr>
          <w:rFonts w:eastAsia="Times New Roman" w:cstheme="minorHAnsi"/>
          <w:color w:val="000000" w:themeColor="text1"/>
          <w:sz w:val="20"/>
          <w:szCs w:val="20"/>
          <w:lang w:eastAsia="en-GB"/>
        </w:rPr>
        <w:t>s</w:t>
      </w:r>
      <w:r w:rsidR="004A48FB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a critical leadership role within the </w:t>
      </w:r>
      <w:r w:rsidR="0053012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Heme</w:t>
      </w:r>
      <w:r w:rsidR="004A48FB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Business </w:t>
      </w:r>
      <w:r w:rsidR="00C9752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U</w:t>
      </w:r>
      <w:r w:rsidR="004A48FB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nit leadership team</w:t>
      </w:r>
      <w:r w:rsidR="00D442C7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representing all market access functions</w:t>
      </w:r>
    </w:p>
    <w:p w14:paraId="30C58C75" w14:textId="2A8B11E2" w:rsidR="000500D3" w:rsidRPr="00122B85" w:rsidRDefault="00B11F21" w:rsidP="004A48F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Lead CMMI CGT Access Model execution; pull-through at the field level and education of ATC</w:t>
      </w:r>
      <w:r w:rsidR="006F6128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s in applicable states</w:t>
      </w:r>
    </w:p>
    <w:p w14:paraId="56FAFF32" w14:textId="3F492270" w:rsidR="007F552D" w:rsidRPr="00122B85" w:rsidRDefault="00530122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E</w:t>
      </w:r>
      <w:r w:rsidR="003B0DF5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xecution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and refinement</w:t>
      </w:r>
      <w:r w:rsidR="003B0DF5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of the 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Casgevy</w:t>
      </w:r>
      <w:r w:rsidR="003B0DF5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market </w:t>
      </w:r>
      <w:r w:rsidR="00A024E4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access </w:t>
      </w:r>
      <w:r w:rsidR="003B0DF5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strategy</w:t>
      </w:r>
    </w:p>
    <w:p w14:paraId="0A8CE83D" w14:textId="0B901350" w:rsidR="00F556AB" w:rsidRPr="00122B85" w:rsidRDefault="00BF3A3A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In tandem with BULT</w:t>
      </w:r>
      <w:r w:rsidR="00B0115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, ARLs, payer and trade field team to drive demand.</w:t>
      </w:r>
    </w:p>
    <w:p w14:paraId="3B0C0E31" w14:textId="0E37A380" w:rsidR="007F552D" w:rsidRPr="00122B85" w:rsidRDefault="007F552D" w:rsidP="007F552D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Spearhead </w:t>
      </w:r>
      <w:r w:rsidR="006E2527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and create an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</w:t>
      </w:r>
      <w:r w:rsidR="004D0ED1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alternative 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contracting strategy in tandem with the MA cross functional team and G</w:t>
      </w:r>
      <w:r w:rsidR="00A7144F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VAS</w:t>
      </w:r>
    </w:p>
    <w:p w14:paraId="5AB63238" w14:textId="35C754C6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0"/>
          <w:szCs w:val="20"/>
          <w:lang w:eastAsia="en-GB"/>
        </w:rPr>
      </w:pPr>
      <w:r w:rsidRPr="00122B85">
        <w:rPr>
          <w:rFonts w:eastAsia="Times New Roman" w:cstheme="minorHAnsi"/>
          <w:sz w:val="20"/>
          <w:szCs w:val="20"/>
          <w:lang w:eastAsia="en-GB"/>
        </w:rPr>
        <w:t>Develop, train, and implement the necessary promotional resources and reimbursement pull-through that support field account teams’ efforts with key customers</w:t>
      </w:r>
    </w:p>
    <w:p w14:paraId="0EA24A10" w14:textId="69BE8BD9" w:rsidR="00FF7D40" w:rsidRPr="00122B85" w:rsidRDefault="00DC4B1C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0"/>
          <w:szCs w:val="20"/>
          <w:lang w:eastAsia="en-GB"/>
        </w:rPr>
      </w:pPr>
      <w:r w:rsidRPr="00122B85">
        <w:rPr>
          <w:rFonts w:eastAsia="Times New Roman" w:cstheme="minorHAnsi"/>
          <w:sz w:val="20"/>
          <w:szCs w:val="20"/>
          <w:lang w:eastAsia="en-GB"/>
        </w:rPr>
        <w:t>Oversee</w:t>
      </w:r>
      <w:r w:rsidR="00432DB3" w:rsidRPr="00122B85">
        <w:rPr>
          <w:rFonts w:eastAsia="Times New Roman" w:cstheme="minorHAnsi"/>
          <w:sz w:val="20"/>
          <w:szCs w:val="20"/>
          <w:lang w:eastAsia="en-GB"/>
        </w:rPr>
        <w:t xml:space="preserve"> and</w:t>
      </w:r>
      <w:r w:rsidRPr="00122B85">
        <w:rPr>
          <w:rFonts w:eastAsia="Times New Roman" w:cstheme="minorHAnsi"/>
          <w:sz w:val="20"/>
          <w:szCs w:val="20"/>
          <w:lang w:eastAsia="en-GB"/>
        </w:rPr>
        <w:t xml:space="preserve"> pr</w:t>
      </w:r>
      <w:r w:rsidR="008E6D98" w:rsidRPr="00122B85">
        <w:rPr>
          <w:rFonts w:eastAsia="Times New Roman" w:cstheme="minorHAnsi"/>
          <w:sz w:val="20"/>
          <w:szCs w:val="20"/>
          <w:lang w:eastAsia="en-GB"/>
        </w:rPr>
        <w:t>ovid</w:t>
      </w:r>
      <w:r w:rsidRPr="00122B85">
        <w:rPr>
          <w:rFonts w:eastAsia="Times New Roman" w:cstheme="minorHAnsi"/>
          <w:sz w:val="20"/>
          <w:szCs w:val="20"/>
          <w:lang w:eastAsia="en-GB"/>
        </w:rPr>
        <w:t>e</w:t>
      </w:r>
      <w:r w:rsidR="008E6D98" w:rsidRPr="00122B85">
        <w:rPr>
          <w:rFonts w:eastAsia="Times New Roman" w:cstheme="minorHAnsi"/>
          <w:sz w:val="20"/>
          <w:szCs w:val="20"/>
          <w:lang w:eastAsia="en-GB"/>
        </w:rPr>
        <w:t xml:space="preserve"> strategic input and planning for</w:t>
      </w:r>
      <w:r w:rsidR="00465A64" w:rsidRPr="00122B85">
        <w:rPr>
          <w:rFonts w:eastAsia="Times New Roman" w:cstheme="minorHAnsi"/>
          <w:sz w:val="20"/>
          <w:szCs w:val="20"/>
          <w:lang w:eastAsia="en-GB"/>
        </w:rPr>
        <w:t xml:space="preserve"> future formulations</w:t>
      </w:r>
      <w:r w:rsidR="00432DB3" w:rsidRPr="00122B85">
        <w:rPr>
          <w:rFonts w:eastAsia="Times New Roman" w:cstheme="minorHAnsi"/>
          <w:sz w:val="20"/>
          <w:szCs w:val="20"/>
          <w:lang w:eastAsia="en-GB"/>
        </w:rPr>
        <w:t>, conditioning regiments, etc..</w:t>
      </w:r>
    </w:p>
    <w:p w14:paraId="51620B19" w14:textId="1698AE01" w:rsidR="0083034E" w:rsidRPr="00122B85" w:rsidRDefault="0083034E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0"/>
          <w:szCs w:val="20"/>
          <w:lang w:eastAsia="en-GB"/>
        </w:rPr>
      </w:pPr>
      <w:r w:rsidRPr="00122B85">
        <w:rPr>
          <w:rFonts w:eastAsia="Times New Roman" w:cstheme="minorHAnsi"/>
          <w:sz w:val="20"/>
          <w:szCs w:val="20"/>
          <w:lang w:eastAsia="en-GB"/>
        </w:rPr>
        <w:t xml:space="preserve">Chair the </w:t>
      </w:r>
      <w:r w:rsidR="002C7E09" w:rsidRPr="00122B85">
        <w:rPr>
          <w:rFonts w:eastAsia="Times New Roman" w:cstheme="minorHAnsi"/>
          <w:sz w:val="20"/>
          <w:szCs w:val="20"/>
          <w:lang w:eastAsia="en-GB"/>
        </w:rPr>
        <w:t xml:space="preserve">Heme </w:t>
      </w:r>
      <w:r w:rsidRPr="00122B85">
        <w:rPr>
          <w:rFonts w:eastAsia="Times New Roman" w:cstheme="minorHAnsi"/>
          <w:sz w:val="20"/>
          <w:szCs w:val="20"/>
          <w:lang w:eastAsia="en-GB"/>
        </w:rPr>
        <w:t>ACCESS process</w:t>
      </w:r>
      <w:r w:rsidR="008E6C18" w:rsidRPr="00122B85">
        <w:rPr>
          <w:rFonts w:eastAsia="Times New Roman" w:cstheme="minorHAnsi"/>
          <w:sz w:val="20"/>
          <w:szCs w:val="20"/>
          <w:lang w:eastAsia="en-GB"/>
        </w:rPr>
        <w:t xml:space="preserve"> across the cross-functional </w:t>
      </w:r>
      <w:r w:rsidR="004F26EA" w:rsidRPr="00122B85">
        <w:rPr>
          <w:rFonts w:eastAsia="Times New Roman" w:cstheme="minorHAnsi"/>
          <w:sz w:val="20"/>
          <w:szCs w:val="20"/>
          <w:lang w:eastAsia="en-GB"/>
        </w:rPr>
        <w:t>business partners</w:t>
      </w:r>
    </w:p>
    <w:p w14:paraId="1AB161D1" w14:textId="6D542D7D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Customize strategies based on Commercial, Medicaid &amp; Medicare demographics, legislation, &amp; trends</w:t>
      </w:r>
    </w:p>
    <w:p w14:paraId="22024FBE" w14:textId="4F556E14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Identify and address key product barriers to payer access and performance by applying advanced payer analytics and market trends.</w:t>
      </w:r>
    </w:p>
    <w:p w14:paraId="4DB9E412" w14:textId="77777777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Oversee agency and external vendors to deliver resources and strategic insights on time and within budget</w:t>
      </w:r>
    </w:p>
    <w:p w14:paraId="6F6F5B48" w14:textId="77777777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Developing KPIs and metrics to assess impact of key initiatives</w:t>
      </w:r>
    </w:p>
    <w:p w14:paraId="1E0DC3B5" w14:textId="65124D50" w:rsidR="00F556AB" w:rsidRPr="00122B85" w:rsidRDefault="00F556AB" w:rsidP="00F556AB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Act as trusted, subject matter expert on US payer landscape to internal colleagues and externally customers</w:t>
      </w:r>
    </w:p>
    <w:p w14:paraId="1119B59F" w14:textId="77777777" w:rsidR="00F556AB" w:rsidRPr="00122B85" w:rsidRDefault="00F556AB" w:rsidP="00F556A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0000" w:themeColor="text1"/>
          <w:sz w:val="14"/>
          <w:szCs w:val="14"/>
          <w:lang w:eastAsia="en-GB"/>
        </w:rPr>
      </w:pPr>
    </w:p>
    <w:p w14:paraId="22595773" w14:textId="77777777" w:rsidR="00F556AB" w:rsidRPr="00122B85" w:rsidRDefault="00F556AB" w:rsidP="00F556A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bdr w:val="none" w:sz="0" w:space="0" w:color="auto" w:frame="1"/>
          <w:lang w:eastAsia="en-GB"/>
        </w:rPr>
        <w:t>Knowledge and Skills:</w:t>
      </w:r>
    </w:p>
    <w:p w14:paraId="587CA394" w14:textId="1E92D2C6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Expert knowledge of US healthcare system, including gov</w:t>
      </w:r>
      <w:r w:rsidR="007A23CF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’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t </w:t>
      </w:r>
      <w:r w:rsidR="007A23CF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&amp; 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commercial payer</w:t>
      </w:r>
      <w:r w:rsidR="007A23CF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s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, policy, and regulatory environment</w:t>
      </w:r>
    </w:p>
    <w:p w14:paraId="7DD62B5E" w14:textId="530271A2" w:rsidR="00CF2ED4" w:rsidRPr="00122B85" w:rsidRDefault="00130108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Strong understanding of the </w:t>
      </w: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>hospital setting</w:t>
      </w:r>
      <w:r w:rsidR="00AA479B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, billing and coding requirement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as well as </w:t>
      </w:r>
      <w:r w:rsidR="002928D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the flow of funds</w:t>
      </w:r>
      <w:r w:rsidR="00D70D3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 coupled with </w:t>
      </w:r>
      <w:r w:rsidR="00D70D32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>cell &amp; gene experience</w:t>
      </w:r>
    </w:p>
    <w:p w14:paraId="409C4593" w14:textId="64795108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Previous </w:t>
      </w: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contract strategy leadership experience in the </w:t>
      </w: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bdr w:val="none" w:sz="0" w:space="0" w:color="auto" w:frame="1"/>
          <w:lang w:eastAsia="en-GB"/>
        </w:rPr>
        <w:t>pharmaceutical/biotech</w:t>
      </w: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 or healthcare industry</w:t>
      </w:r>
      <w:r w:rsidR="000D5232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 (required)</w:t>
      </w:r>
    </w:p>
    <w:p w14:paraId="4625E5F4" w14:textId="7CF3362D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Experience in developing and articulating </w:t>
      </w:r>
      <w:r w:rsidR="00007DC2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a 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clear and pragmatic value proposition </w:t>
      </w:r>
    </w:p>
    <w:p w14:paraId="36F39B68" w14:textId="43F3DD03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Proven track record of meeting or exceeding objectives </w:t>
      </w:r>
      <w:r w:rsidR="00C33387"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&amp; </w:t>
      </w: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goals, both as an individual and as part of a team</w:t>
      </w:r>
    </w:p>
    <w:p w14:paraId="3A9DAF7C" w14:textId="77777777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Excellent communication skills with experience presenting to customers and internal leadership</w:t>
      </w:r>
    </w:p>
    <w:p w14:paraId="4E62058F" w14:textId="77777777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Demonstrated ability to successfully lead cross-functional teams, influencing without direct authority, with the interpersonal skills to foster collaboration and succeed in a highly matrixed environment</w:t>
      </w:r>
    </w:p>
    <w:p w14:paraId="217C0CCD" w14:textId="77777777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Ability to perform in a fast-paced environment, manage multiple priorities simultaneously, and work effectively across cross-functional teams</w:t>
      </w:r>
    </w:p>
    <w:p w14:paraId="43E7290C" w14:textId="31CDE430" w:rsidR="008D16F0" w:rsidRPr="00122B85" w:rsidRDefault="008D16F0" w:rsidP="008D16F0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Must have </w:t>
      </w:r>
      <w:r w:rsidR="008D4468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US </w:t>
      </w:r>
      <w:r w:rsidR="003D40E0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>Access</w:t>
      </w:r>
      <w:r w:rsidR="00F556AB" w:rsidRPr="00122B85">
        <w:rPr>
          <w:rFonts w:eastAsia="Times New Roman" w:cstheme="minorHAnsi"/>
          <w:b/>
          <w:bCs/>
          <w:color w:val="000000" w:themeColor="text1"/>
          <w:sz w:val="20"/>
          <w:szCs w:val="20"/>
          <w:lang w:eastAsia="en-GB"/>
        </w:rPr>
        <w:t xml:space="preserve"> launch experience</w:t>
      </w:r>
    </w:p>
    <w:p w14:paraId="4344F6F8" w14:textId="77777777" w:rsidR="00F556AB" w:rsidRPr="00122B85" w:rsidRDefault="00F556AB" w:rsidP="00F556AB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>Experience with leading and managing a team</w:t>
      </w:r>
    </w:p>
    <w:p w14:paraId="47C3671A" w14:textId="77777777" w:rsidR="00F556AB" w:rsidRPr="00122B85" w:rsidRDefault="00F556AB" w:rsidP="00F556A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000000" w:themeColor="text1"/>
          <w:sz w:val="12"/>
          <w:szCs w:val="12"/>
          <w:lang w:eastAsia="en-GB"/>
        </w:rPr>
      </w:pPr>
    </w:p>
    <w:p w14:paraId="2E573693" w14:textId="77777777" w:rsidR="00F556AB" w:rsidRPr="00122B85" w:rsidRDefault="00F556AB" w:rsidP="00F556A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b/>
          <w:bCs/>
          <w:color w:val="000000" w:themeColor="text1"/>
          <w:sz w:val="20"/>
          <w:szCs w:val="20"/>
          <w:bdr w:val="none" w:sz="0" w:space="0" w:color="auto" w:frame="1"/>
          <w:lang w:eastAsia="en-GB"/>
        </w:rPr>
        <w:t>Education and Experience:</w:t>
      </w:r>
    </w:p>
    <w:p w14:paraId="62D56EFB" w14:textId="77777777" w:rsidR="00F556AB" w:rsidRPr="00122B85" w:rsidRDefault="00F556AB" w:rsidP="00F556AB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  <w:lang w:eastAsia="en-GB"/>
        </w:rPr>
        <w:t xml:space="preserve">Bachelor’s degree in relevant field </w:t>
      </w:r>
    </w:p>
    <w:p w14:paraId="59B78987" w14:textId="0FE6CD86" w:rsidR="00285FE8" w:rsidRPr="00122B85" w:rsidRDefault="00285FE8" w:rsidP="00285FE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</w:rPr>
        <w:t>Typically requires 12 years of MA experience or the equivalent combination of education and experience</w:t>
      </w:r>
    </w:p>
    <w:p w14:paraId="39F87848" w14:textId="72392FC1" w:rsidR="00F556AB" w:rsidRPr="00122B85" w:rsidRDefault="00285FE8" w:rsidP="00285FE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0"/>
          <w:szCs w:val="20"/>
          <w:lang w:eastAsia="en-GB"/>
        </w:rPr>
      </w:pPr>
      <w:r w:rsidRPr="00122B85">
        <w:rPr>
          <w:rFonts w:eastAsia="Times New Roman" w:cstheme="minorHAnsi"/>
          <w:color w:val="000000" w:themeColor="text1"/>
          <w:sz w:val="20"/>
          <w:szCs w:val="20"/>
        </w:rPr>
        <w:t>Typically requires 5 years of supervisory experience</w:t>
      </w:r>
    </w:p>
    <w:p w14:paraId="11102831" w14:textId="77777777" w:rsidR="00285FE8" w:rsidRPr="00122B85" w:rsidRDefault="00285FE8" w:rsidP="002150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6F0A7FF" w14:textId="548F1B1E" w:rsidR="006F49A4" w:rsidRPr="00863596" w:rsidRDefault="00F556AB" w:rsidP="0021502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122B85">
        <w:rPr>
          <w:rFonts w:cstheme="minorHAnsi"/>
          <w:b/>
          <w:bCs/>
          <w:color w:val="000000" w:themeColor="text1"/>
          <w:sz w:val="20"/>
          <w:szCs w:val="20"/>
        </w:rPr>
        <w:t>Location</w:t>
      </w:r>
      <w:r w:rsidRPr="00122B85">
        <w:rPr>
          <w:rFonts w:cstheme="minorHAnsi"/>
          <w:color w:val="000000" w:themeColor="text1"/>
          <w:sz w:val="20"/>
          <w:szCs w:val="20"/>
        </w:rPr>
        <w:t>: HQ on a hybrid schedule (3 days a week</w:t>
      </w:r>
      <w:r w:rsidRPr="00863596">
        <w:rPr>
          <w:rFonts w:cstheme="minorHAnsi"/>
          <w:color w:val="000000" w:themeColor="text1"/>
          <w:sz w:val="20"/>
          <w:szCs w:val="20"/>
        </w:rPr>
        <w:t>)</w:t>
      </w:r>
    </w:p>
    <w:sectPr w:rsidR="006F49A4" w:rsidRPr="00863596" w:rsidSect="009D03B5">
      <w:pgSz w:w="12240" w:h="15840"/>
      <w:pgMar w:top="100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F44"/>
    <w:multiLevelType w:val="hybridMultilevel"/>
    <w:tmpl w:val="CDF0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2094E"/>
    <w:multiLevelType w:val="multilevel"/>
    <w:tmpl w:val="6E4242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527B66"/>
    <w:multiLevelType w:val="hybridMultilevel"/>
    <w:tmpl w:val="78C0F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8423D"/>
    <w:multiLevelType w:val="multilevel"/>
    <w:tmpl w:val="C820F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AC008B"/>
    <w:multiLevelType w:val="hybridMultilevel"/>
    <w:tmpl w:val="765E7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0ED6BC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DD243E"/>
    <w:multiLevelType w:val="hybridMultilevel"/>
    <w:tmpl w:val="6660EFD6"/>
    <w:lvl w:ilvl="0" w:tplc="BDC81BC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216BF"/>
    <w:multiLevelType w:val="hybridMultilevel"/>
    <w:tmpl w:val="84563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96DC7"/>
    <w:multiLevelType w:val="hybridMultilevel"/>
    <w:tmpl w:val="7FF2D22C"/>
    <w:lvl w:ilvl="0" w:tplc="BDC81BC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A68EE"/>
    <w:multiLevelType w:val="multilevel"/>
    <w:tmpl w:val="5CB043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8C1034"/>
    <w:multiLevelType w:val="hybridMultilevel"/>
    <w:tmpl w:val="B9F0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C0B19"/>
    <w:multiLevelType w:val="hybridMultilevel"/>
    <w:tmpl w:val="C3E47576"/>
    <w:lvl w:ilvl="0" w:tplc="BDC81BC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E1509"/>
    <w:multiLevelType w:val="hybridMultilevel"/>
    <w:tmpl w:val="5D1C6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9889569">
    <w:abstractNumId w:val="11"/>
  </w:num>
  <w:num w:numId="2" w16cid:durableId="493304241">
    <w:abstractNumId w:val="4"/>
  </w:num>
  <w:num w:numId="3" w16cid:durableId="1445732929">
    <w:abstractNumId w:val="9"/>
  </w:num>
  <w:num w:numId="4" w16cid:durableId="1259412996">
    <w:abstractNumId w:val="7"/>
  </w:num>
  <w:num w:numId="5" w16cid:durableId="1431662582">
    <w:abstractNumId w:val="10"/>
  </w:num>
  <w:num w:numId="6" w16cid:durableId="1210652725">
    <w:abstractNumId w:val="5"/>
  </w:num>
  <w:num w:numId="7" w16cid:durableId="1709839688">
    <w:abstractNumId w:val="8"/>
  </w:num>
  <w:num w:numId="8" w16cid:durableId="1510877010">
    <w:abstractNumId w:val="1"/>
  </w:num>
  <w:num w:numId="9" w16cid:durableId="355470874">
    <w:abstractNumId w:val="3"/>
  </w:num>
  <w:num w:numId="10" w16cid:durableId="119691366">
    <w:abstractNumId w:val="0"/>
  </w:num>
  <w:num w:numId="11" w16cid:durableId="1333029169">
    <w:abstractNumId w:val="6"/>
  </w:num>
  <w:num w:numId="12" w16cid:durableId="283924165">
    <w:abstractNumId w:val="2"/>
  </w:num>
  <w:num w:numId="13" w16cid:durableId="138696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7D"/>
    <w:rsid w:val="00007DC2"/>
    <w:rsid w:val="00035288"/>
    <w:rsid w:val="00037AF4"/>
    <w:rsid w:val="000500D3"/>
    <w:rsid w:val="000533FA"/>
    <w:rsid w:val="000559E5"/>
    <w:rsid w:val="000C0038"/>
    <w:rsid w:val="000C2A02"/>
    <w:rsid w:val="000C7965"/>
    <w:rsid w:val="000D0580"/>
    <w:rsid w:val="000D5232"/>
    <w:rsid w:val="00106490"/>
    <w:rsid w:val="00122B85"/>
    <w:rsid w:val="00130108"/>
    <w:rsid w:val="00132AC4"/>
    <w:rsid w:val="001356CA"/>
    <w:rsid w:val="00150526"/>
    <w:rsid w:val="001535FD"/>
    <w:rsid w:val="00183F02"/>
    <w:rsid w:val="001A3F0B"/>
    <w:rsid w:val="001D5812"/>
    <w:rsid w:val="00215029"/>
    <w:rsid w:val="00233188"/>
    <w:rsid w:val="00240D24"/>
    <w:rsid w:val="00251018"/>
    <w:rsid w:val="0026609B"/>
    <w:rsid w:val="002678E3"/>
    <w:rsid w:val="0027220A"/>
    <w:rsid w:val="00285336"/>
    <w:rsid w:val="00285FE8"/>
    <w:rsid w:val="002928D2"/>
    <w:rsid w:val="00293319"/>
    <w:rsid w:val="00297CDD"/>
    <w:rsid w:val="002C7E09"/>
    <w:rsid w:val="00346FEA"/>
    <w:rsid w:val="00347F84"/>
    <w:rsid w:val="00350A08"/>
    <w:rsid w:val="00355B76"/>
    <w:rsid w:val="00394714"/>
    <w:rsid w:val="00397272"/>
    <w:rsid w:val="003A6092"/>
    <w:rsid w:val="003B0DF5"/>
    <w:rsid w:val="003C6A64"/>
    <w:rsid w:val="003D40E0"/>
    <w:rsid w:val="003E70CC"/>
    <w:rsid w:val="003F7851"/>
    <w:rsid w:val="003F7F45"/>
    <w:rsid w:val="00401092"/>
    <w:rsid w:val="004169C9"/>
    <w:rsid w:val="00432DB3"/>
    <w:rsid w:val="00437B19"/>
    <w:rsid w:val="0044184B"/>
    <w:rsid w:val="00465A64"/>
    <w:rsid w:val="004722B3"/>
    <w:rsid w:val="004811D2"/>
    <w:rsid w:val="004A48FB"/>
    <w:rsid w:val="004A52ED"/>
    <w:rsid w:val="004A7293"/>
    <w:rsid w:val="004B5067"/>
    <w:rsid w:val="004C38BB"/>
    <w:rsid w:val="004D0ED1"/>
    <w:rsid w:val="004F26EA"/>
    <w:rsid w:val="00530122"/>
    <w:rsid w:val="0054384F"/>
    <w:rsid w:val="00551AD2"/>
    <w:rsid w:val="00565338"/>
    <w:rsid w:val="0057706A"/>
    <w:rsid w:val="005810BA"/>
    <w:rsid w:val="005A442B"/>
    <w:rsid w:val="005A6FCE"/>
    <w:rsid w:val="005C3DBD"/>
    <w:rsid w:val="005D220B"/>
    <w:rsid w:val="005E0BF2"/>
    <w:rsid w:val="005E5C8E"/>
    <w:rsid w:val="00600A36"/>
    <w:rsid w:val="006476E6"/>
    <w:rsid w:val="0065563A"/>
    <w:rsid w:val="00656FCA"/>
    <w:rsid w:val="0066353A"/>
    <w:rsid w:val="00672738"/>
    <w:rsid w:val="006B4519"/>
    <w:rsid w:val="006C3D05"/>
    <w:rsid w:val="006E2527"/>
    <w:rsid w:val="006F49A4"/>
    <w:rsid w:val="006F6128"/>
    <w:rsid w:val="007100BC"/>
    <w:rsid w:val="00712076"/>
    <w:rsid w:val="00741DD9"/>
    <w:rsid w:val="00764821"/>
    <w:rsid w:val="007824D4"/>
    <w:rsid w:val="00793EFC"/>
    <w:rsid w:val="007A23CF"/>
    <w:rsid w:val="007A75FE"/>
    <w:rsid w:val="007D3067"/>
    <w:rsid w:val="007E718F"/>
    <w:rsid w:val="007F4D3A"/>
    <w:rsid w:val="007F552D"/>
    <w:rsid w:val="00806F2B"/>
    <w:rsid w:val="0083034E"/>
    <w:rsid w:val="00851D08"/>
    <w:rsid w:val="008579D6"/>
    <w:rsid w:val="00863596"/>
    <w:rsid w:val="0087527D"/>
    <w:rsid w:val="00875798"/>
    <w:rsid w:val="008807DE"/>
    <w:rsid w:val="00887CE2"/>
    <w:rsid w:val="008D16F0"/>
    <w:rsid w:val="008D4468"/>
    <w:rsid w:val="008E6C18"/>
    <w:rsid w:val="008E6D98"/>
    <w:rsid w:val="00920216"/>
    <w:rsid w:val="00927BDF"/>
    <w:rsid w:val="00931272"/>
    <w:rsid w:val="009467A4"/>
    <w:rsid w:val="00951B20"/>
    <w:rsid w:val="00963C27"/>
    <w:rsid w:val="00976E0D"/>
    <w:rsid w:val="00991CC7"/>
    <w:rsid w:val="009A4F37"/>
    <w:rsid w:val="009B631A"/>
    <w:rsid w:val="009D03B5"/>
    <w:rsid w:val="009F3E69"/>
    <w:rsid w:val="00A024E4"/>
    <w:rsid w:val="00A42DB6"/>
    <w:rsid w:val="00A5117D"/>
    <w:rsid w:val="00A52AF1"/>
    <w:rsid w:val="00A7144F"/>
    <w:rsid w:val="00A73DC1"/>
    <w:rsid w:val="00A74066"/>
    <w:rsid w:val="00AA479B"/>
    <w:rsid w:val="00AD4322"/>
    <w:rsid w:val="00B01152"/>
    <w:rsid w:val="00B11F21"/>
    <w:rsid w:val="00B37B9E"/>
    <w:rsid w:val="00B5645D"/>
    <w:rsid w:val="00B72303"/>
    <w:rsid w:val="00BA299D"/>
    <w:rsid w:val="00BA6043"/>
    <w:rsid w:val="00BB5442"/>
    <w:rsid w:val="00BE4376"/>
    <w:rsid w:val="00BF0B19"/>
    <w:rsid w:val="00BF1835"/>
    <w:rsid w:val="00BF3A3A"/>
    <w:rsid w:val="00C00F41"/>
    <w:rsid w:val="00C33387"/>
    <w:rsid w:val="00C476DE"/>
    <w:rsid w:val="00C47F27"/>
    <w:rsid w:val="00C552BA"/>
    <w:rsid w:val="00C73597"/>
    <w:rsid w:val="00C750E0"/>
    <w:rsid w:val="00C8046B"/>
    <w:rsid w:val="00C97522"/>
    <w:rsid w:val="00CA55C5"/>
    <w:rsid w:val="00CB6EF1"/>
    <w:rsid w:val="00CD0E8E"/>
    <w:rsid w:val="00CF214A"/>
    <w:rsid w:val="00CF2ED4"/>
    <w:rsid w:val="00D033AB"/>
    <w:rsid w:val="00D442C7"/>
    <w:rsid w:val="00D70D32"/>
    <w:rsid w:val="00D725D9"/>
    <w:rsid w:val="00D93D3E"/>
    <w:rsid w:val="00DC4B1C"/>
    <w:rsid w:val="00DC57FD"/>
    <w:rsid w:val="00DF4C6B"/>
    <w:rsid w:val="00E54443"/>
    <w:rsid w:val="00E70549"/>
    <w:rsid w:val="00E719ED"/>
    <w:rsid w:val="00EB6363"/>
    <w:rsid w:val="00ED3EEA"/>
    <w:rsid w:val="00EE3521"/>
    <w:rsid w:val="00F31B8C"/>
    <w:rsid w:val="00F53D12"/>
    <w:rsid w:val="00F556AB"/>
    <w:rsid w:val="00F56E78"/>
    <w:rsid w:val="00F679C1"/>
    <w:rsid w:val="00F85359"/>
    <w:rsid w:val="00FB74EB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F06F"/>
  <w15:chartTrackingRefBased/>
  <w15:docId w15:val="{7E06D26E-757F-4D4D-900C-280529C0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6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27D"/>
    <w:pPr>
      <w:ind w:left="720"/>
      <w:contextualSpacing/>
    </w:pPr>
  </w:style>
  <w:style w:type="paragraph" w:styleId="Revision">
    <w:name w:val="Revision"/>
    <w:hidden/>
    <w:uiPriority w:val="99"/>
    <w:semiHidden/>
    <w:rsid w:val="00007DC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4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736f1a-6d66-4d7b-be62-d43e1e9bdc3b}" enabled="1" method="Standard" siteId="{69ce8198-0346-4196-b83f-1ae289c868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Trezza</dc:creator>
  <cp:keywords/>
  <dc:description/>
  <cp:lastModifiedBy>Rich Trezza</cp:lastModifiedBy>
  <cp:revision>2</cp:revision>
  <cp:lastPrinted>2022-03-21T13:39:00Z</cp:lastPrinted>
  <dcterms:created xsi:type="dcterms:W3CDTF">2025-03-11T22:22:00Z</dcterms:created>
  <dcterms:modified xsi:type="dcterms:W3CDTF">2025-03-11T22:22:00Z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736f1a-6d66-4d7b-be62-d43e1e9bdc3b_Enabled">
    <vt:lpwstr>true</vt:lpwstr>
  </property>
  <property fmtid="{D5CDD505-2E9C-101B-9397-08002B2CF9AE}" pid="3" name="MSIP_Label_0a736f1a-6d66-4d7b-be62-d43e1e9bdc3b_SetDate">
    <vt:lpwstr>2022-03-04T16:38:54Z</vt:lpwstr>
  </property>
  <property fmtid="{D5CDD505-2E9C-101B-9397-08002B2CF9AE}" pid="4" name="MSIP_Label_0a736f1a-6d66-4d7b-be62-d43e1e9bdc3b_Method">
    <vt:lpwstr>Standard</vt:lpwstr>
  </property>
  <property fmtid="{D5CDD505-2E9C-101B-9397-08002B2CF9AE}" pid="5" name="MSIP_Label_0a736f1a-6d66-4d7b-be62-d43e1e9bdc3b_Name">
    <vt:lpwstr>ConfE</vt:lpwstr>
  </property>
  <property fmtid="{D5CDD505-2E9C-101B-9397-08002B2CF9AE}" pid="6" name="MSIP_Label_0a736f1a-6d66-4d7b-be62-d43e1e9bdc3b_SiteId">
    <vt:lpwstr>69ce8198-0346-4196-b83f-1ae289c868d4</vt:lpwstr>
  </property>
  <property fmtid="{D5CDD505-2E9C-101B-9397-08002B2CF9AE}" pid="7" name="MSIP_Label_0a736f1a-6d66-4d7b-be62-d43e1e9bdc3b_ActionId">
    <vt:lpwstr>76012e28-1688-42cb-b0e0-ed702f07c42c</vt:lpwstr>
  </property>
  <property fmtid="{D5CDD505-2E9C-101B-9397-08002B2CF9AE}" pid="8" name="MSIP_Label_0a736f1a-6d66-4d7b-be62-d43e1e9bdc3b_ContentBits">
    <vt:lpwstr>0</vt:lpwstr>
  </property>
</Properties>
</file>