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9D55" w14:textId="77777777" w:rsidR="00FE3CD6" w:rsidRPr="00FE3CD6" w:rsidRDefault="00FE3CD6" w:rsidP="00FE3CD6">
      <w:pPr>
        <w:spacing w:after="0" w:line="240" w:lineRule="auto"/>
        <w:textAlignment w:val="baseline"/>
        <w:outlineLvl w:val="1"/>
        <w:rPr>
          <w:rFonts w:ascii="inherit" w:eastAsia="Times New Roman" w:hAnsi="inherit" w:cs="Times New Roman"/>
          <w:b/>
          <w:bCs/>
          <w:color w:val="333333"/>
          <w:kern w:val="0"/>
          <w:sz w:val="36"/>
          <w:szCs w:val="36"/>
          <w14:ligatures w14:val="none"/>
        </w:rPr>
      </w:pPr>
      <w:r w:rsidRPr="00FE3CD6">
        <w:rPr>
          <w:rFonts w:ascii="inherit" w:eastAsia="Times New Roman" w:hAnsi="inherit" w:cs="Times New Roman"/>
          <w:b/>
          <w:bCs/>
          <w:color w:val="333333"/>
          <w:kern w:val="0"/>
          <w:sz w:val="36"/>
          <w:szCs w:val="36"/>
          <w14:ligatures w14:val="none"/>
        </w:rPr>
        <w:t>Director, Pain, Global Value &amp; Access Strategy</w:t>
      </w:r>
    </w:p>
    <w:p w14:paraId="73308797" w14:textId="5DE96974" w:rsidR="00FE3CD6" w:rsidRPr="00FE3CD6" w:rsidRDefault="00FE3CD6" w:rsidP="00FE3CD6">
      <w:pPr>
        <w:spacing w:after="0" w:line="240" w:lineRule="auto"/>
        <w:jc w:val="center"/>
        <w:textAlignment w:val="baseline"/>
        <w:rPr>
          <w:rFonts w:ascii="Roboto" w:eastAsia="Times New Roman" w:hAnsi="Roboto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7"/>
          <w:szCs w:val="27"/>
          <w14:ligatures w14:val="none"/>
        </w:rPr>
        <w:t xml:space="preserve">Location: Boston (Hybrid) </w:t>
      </w:r>
    </w:p>
    <w:p w14:paraId="3E68CA54" w14:textId="77777777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b/>
          <w:bCs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  <w:t>Job Description</w:t>
      </w:r>
    </w:p>
    <w:p w14:paraId="4D412027" w14:textId="77777777" w:rsid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 xml:space="preserve">The Director, Pain, Global Value &amp; Access Strategy role will serve as Market Access Lead for the chronic indications (DPN/LSR/PNP) across our Pain portfolio, with a specific focus on </w:t>
      </w:r>
      <w:proofErr w:type="spellStart"/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>suzetrigine</w:t>
      </w:r>
      <w:proofErr w:type="spellEnd"/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 xml:space="preserve">.  Based on positive Phase 2 data, Vertex is advancing into pivotal development in diabetic peripheral neuropathy (DPN) and lumbosacral radiculopathy, or LSR, which is pain caused by impairment or injury to nerve roots </w:t>
      </w:r>
      <w:proofErr w:type="gramStart"/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>in the area of</w:t>
      </w:r>
      <w:proofErr w:type="gramEnd"/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 xml:space="preserve"> the lumbar spine.  The individual will be responsible for leading the development of Global Market Access strategies, as well as co-</w:t>
      </w:r>
      <w:proofErr w:type="gramStart"/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>lead</w:t>
      </w:r>
      <w:proofErr w:type="gramEnd"/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 xml:space="preserve"> the Global Commercial Team across the Vertex Pain portfolio.  The role reports to Sr. Director, Pain Portfolio lead.</w:t>
      </w:r>
    </w:p>
    <w:p w14:paraId="66ACEBA4" w14:textId="77777777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</w:p>
    <w:p w14:paraId="567B5886" w14:textId="77777777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  <w:t>Key Duties and Responsibilities</w:t>
      </w:r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>:</w:t>
      </w:r>
    </w:p>
    <w:p w14:paraId="54FFFD25" w14:textId="77777777" w:rsidR="00FE3CD6" w:rsidRPr="00FE3CD6" w:rsidRDefault="00FE3CD6" w:rsidP="00FE3CD6">
      <w:pPr>
        <w:numPr>
          <w:ilvl w:val="0"/>
          <w:numId w:val="1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Responsible for Global payer strategic planning to support value and access optimization for chronic indications (DPN/LSR/PNP) for </w:t>
      </w:r>
      <w:proofErr w:type="spellStart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suzetrigine</w:t>
      </w:r>
      <w:proofErr w:type="spellEnd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 as well as the broader Pain portfolio</w:t>
      </w:r>
    </w:p>
    <w:p w14:paraId="7B9F66EE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Lead development of Market Access strategies and core Global P&amp;R deliverables operating within the cross-functional, cross-regional commercialization process</w:t>
      </w:r>
    </w:p>
    <w:p w14:paraId="2D3CA748" w14:textId="77777777" w:rsidR="00FE3CD6" w:rsidRPr="00FE3CD6" w:rsidRDefault="00FE3CD6" w:rsidP="00FE3CD6">
      <w:pPr>
        <w:numPr>
          <w:ilvl w:val="2"/>
          <w:numId w:val="1"/>
        </w:numPr>
        <w:spacing w:after="0" w:line="360" w:lineRule="atLeast"/>
        <w:ind w:left="2610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Responsible for Global </w:t>
      </w:r>
      <w:proofErr w:type="gramStart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payer</w:t>
      </w:r>
      <w:proofErr w:type="gramEnd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 strategic planning to support value and access optimization; lead development of Global Payer Plan which integrates value evidence generation, strategic pricing, value communications, stakeholder engagement to support successful reimbursement and pricing</w:t>
      </w:r>
    </w:p>
    <w:p w14:paraId="0AEA4183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Accountable for ensuring that payer and market access perspectives are reflected in all cross-functional strategies (e.g. commercial, product development, regulatory affairs)</w:t>
      </w:r>
    </w:p>
    <w:p w14:paraId="57DFF596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Ensure identification and prioritization of all evidence required to capture value, support a differentiated target product profile (TPP), and ensure local pricing and access</w:t>
      </w:r>
    </w:p>
    <w:p w14:paraId="45DD61C5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Support strategies with deep functional knowledge, in-depth market research, environmental data &amp; analogs</w:t>
      </w:r>
    </w:p>
    <w:p w14:paraId="58FC9A15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Inform financial forecasts</w:t>
      </w:r>
    </w:p>
    <w:p w14:paraId="6DAFF776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Partner with Health Economics &amp; Outcomes Research (HEOR), Real-World Evidence (RWE) and Global Marketing to ensure robust value proposition </w:t>
      </w: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lastRenderedPageBreak/>
        <w:t>and integrated evidence plans are optimized to support global market access and reimbursement</w:t>
      </w:r>
    </w:p>
    <w:p w14:paraId="12B54FEC" w14:textId="77777777" w:rsidR="00FE3CD6" w:rsidRPr="00FE3CD6" w:rsidRDefault="00FE3CD6" w:rsidP="00FE3CD6">
      <w:pPr>
        <w:numPr>
          <w:ilvl w:val="0"/>
          <w:numId w:val="1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Co-lead the Pain Global Commercial Team, and work cross-functionally and cross-regionally to develop optimal commercial strategies</w:t>
      </w:r>
    </w:p>
    <w:p w14:paraId="50C7D37F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The Global Commercial Team facilitates development of a commercial strategy </w:t>
      </w:r>
      <w:proofErr w:type="gramStart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in order to</w:t>
      </w:r>
      <w:proofErr w:type="gramEnd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 maximize the lifetime value of the asset globally; is the primary hub for alignment and input into the Disease Strategy Team</w:t>
      </w:r>
    </w:p>
    <w:p w14:paraId="1D0982E9" w14:textId="77777777" w:rsidR="00FE3CD6" w:rsidRPr="00FE3CD6" w:rsidRDefault="00FE3CD6" w:rsidP="00FE3CD6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This role should ensure collaboration and drive alignment across Global Commercial Team and leadership to integrate market access strategy and ensure </w:t>
      </w:r>
      <w:proofErr w:type="gramStart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resourcing for</w:t>
      </w:r>
      <w:proofErr w:type="gramEnd"/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 xml:space="preserve"> commercial success</w:t>
      </w:r>
    </w:p>
    <w:p w14:paraId="10EFDAF9" w14:textId="77777777" w:rsidR="00FE3CD6" w:rsidRPr="00FE3CD6" w:rsidRDefault="00FE3CD6" w:rsidP="00FE3CD6">
      <w:pPr>
        <w:numPr>
          <w:ilvl w:val="0"/>
          <w:numId w:val="1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Support P&amp;MA capability building and thought leadership projects that advance knowledge of and readiness for the rapidly evolving Global payer environment</w:t>
      </w:r>
    </w:p>
    <w:p w14:paraId="5CB02A05" w14:textId="77777777" w:rsidR="00FE3CD6" w:rsidRPr="00FE3CD6" w:rsidRDefault="00FE3CD6" w:rsidP="00FE3CD6">
      <w:pPr>
        <w:numPr>
          <w:ilvl w:val="0"/>
          <w:numId w:val="1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Maintain industry awareness and proactively address changes in market trends, competition, product acceptance and new product releases and adjust Market Access plans accordingly</w:t>
      </w:r>
    </w:p>
    <w:p w14:paraId="6D48D80E" w14:textId="77777777" w:rsidR="00FE3CD6" w:rsidRPr="00FE3CD6" w:rsidRDefault="00FE3CD6" w:rsidP="00FE3CD6">
      <w:pPr>
        <w:numPr>
          <w:ilvl w:val="0"/>
          <w:numId w:val="1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Collaborate closely with HEOR, International P&amp;R, Corporate Affairs, US Market Access, Countries, Marketing and Clinical Development counterparts to ensure value and access optimization</w:t>
      </w:r>
    </w:p>
    <w:p w14:paraId="0BA4902D" w14:textId="77777777" w:rsid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</w:pPr>
    </w:p>
    <w:p w14:paraId="1E9593EA" w14:textId="4B4AB23C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  <w:t>Knowledge and Skills</w:t>
      </w:r>
      <w:r w:rsidRPr="00FE3CD6">
        <w:rPr>
          <w:rFonts w:ascii="inherit" w:eastAsia="Times New Roman" w:hAnsi="inherit" w:cs="Times New Roman"/>
          <w:color w:val="494949"/>
          <w:kern w:val="0"/>
          <w:bdr w:val="none" w:sz="0" w:space="0" w:color="auto" w:frame="1"/>
          <w14:ligatures w14:val="none"/>
        </w:rPr>
        <w:t>:</w:t>
      </w:r>
    </w:p>
    <w:p w14:paraId="6B58312D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Deep working knowledge of both US and ex-US healthcare systems required; experience in comparable Global role considered a plus</w:t>
      </w:r>
    </w:p>
    <w:p w14:paraId="31637BE4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Experience in leading cross-functional teams required</w:t>
      </w:r>
    </w:p>
    <w:p w14:paraId="5094AD13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Experience in specialty and/or rare disease access models preferred</w:t>
      </w:r>
    </w:p>
    <w:p w14:paraId="72C0842C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Demonstrated ability to think strategically and make sound pricing and market access recommendations</w:t>
      </w:r>
    </w:p>
    <w:p w14:paraId="5E9B76C1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Entrepreneurial, energetic, dynamic, enthusiastic, decisive, and self-motivated; possesses a sense of urgency with the ability and strong desire to "make things happen"</w:t>
      </w:r>
    </w:p>
    <w:p w14:paraId="0D27C42D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Strong practical, quantitative and analytical skills combined with a sound understanding of how to successfully apply pricing &amp; reimbursement / HEOR principles to support Vertex</w:t>
      </w:r>
    </w:p>
    <w:p w14:paraId="499DA1B4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General experience in commercialization and drug development</w:t>
      </w:r>
    </w:p>
    <w:p w14:paraId="3F514870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Exhibits outstanding written and oral communication skills, including the ability to effectively write and deliver presentations to professionals at all levels within Vertex</w:t>
      </w:r>
    </w:p>
    <w:p w14:paraId="2C54C68F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lastRenderedPageBreak/>
        <w:t>Demonstrated relationship building at all levels of the organization and across geographies</w:t>
      </w:r>
    </w:p>
    <w:p w14:paraId="4B521592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Recognized as a team player with excellent interpersonal skills who is flexible and reliable</w:t>
      </w:r>
    </w:p>
    <w:p w14:paraId="27124FAB" w14:textId="77777777" w:rsidR="00FE3CD6" w:rsidRPr="00FE3CD6" w:rsidRDefault="00FE3CD6" w:rsidP="00FE3CD6">
      <w:pPr>
        <w:numPr>
          <w:ilvl w:val="0"/>
          <w:numId w:val="2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Displays sound ethics and a fit for Vertex’s core values</w:t>
      </w:r>
    </w:p>
    <w:p w14:paraId="7A3E8394" w14:textId="77777777" w:rsid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</w:pPr>
    </w:p>
    <w:p w14:paraId="04870D7F" w14:textId="65F4C536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b/>
          <w:bCs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  <w:t>Education and Experience:</w:t>
      </w:r>
    </w:p>
    <w:p w14:paraId="4C1D615B" w14:textId="77777777" w:rsidR="00FE3CD6" w:rsidRPr="00FE3CD6" w:rsidRDefault="00FE3CD6" w:rsidP="00FE3CD6">
      <w:pPr>
        <w:numPr>
          <w:ilvl w:val="0"/>
          <w:numId w:val="3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Bachelor's degree in relevant discipline requiring quantitative analysis; advanced degree preferred</w:t>
      </w:r>
    </w:p>
    <w:p w14:paraId="1E2CBDF2" w14:textId="77777777" w:rsidR="00FE3CD6" w:rsidRPr="00FE3CD6" w:rsidRDefault="00FE3CD6" w:rsidP="00FE3CD6">
      <w:pPr>
        <w:numPr>
          <w:ilvl w:val="0"/>
          <w:numId w:val="3"/>
        </w:num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Typically requires 8 years of experience or the equivalent combination of education and experience</w:t>
      </w:r>
    </w:p>
    <w:p w14:paraId="19F4F8AD" w14:textId="77777777" w:rsid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</w:pPr>
    </w:p>
    <w:p w14:paraId="357FB73E" w14:textId="1801D92B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b/>
          <w:bCs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b/>
          <w:bCs/>
          <w:color w:val="494949"/>
          <w:kern w:val="0"/>
          <w:bdr w:val="none" w:sz="0" w:space="0" w:color="auto" w:frame="1"/>
          <w14:ligatures w14:val="none"/>
        </w:rPr>
        <w:t>Pay Range:</w:t>
      </w:r>
    </w:p>
    <w:p w14:paraId="7FA5A68D" w14:textId="77777777" w:rsidR="00FE3CD6" w:rsidRPr="00FE3CD6" w:rsidRDefault="00FE3CD6" w:rsidP="00FE3CD6">
      <w:pPr>
        <w:spacing w:after="0" w:line="360" w:lineRule="atLeast"/>
        <w:textAlignment w:val="baseline"/>
        <w:rPr>
          <w:rFonts w:ascii="inherit" w:eastAsia="Times New Roman" w:hAnsi="inherit" w:cs="Times New Roman"/>
          <w:color w:val="494949"/>
          <w:kern w:val="0"/>
          <w14:ligatures w14:val="none"/>
        </w:rPr>
      </w:pPr>
      <w:r w:rsidRPr="00FE3CD6">
        <w:rPr>
          <w:rFonts w:ascii="inherit" w:eastAsia="Times New Roman" w:hAnsi="inherit" w:cs="Times New Roman"/>
          <w:color w:val="494949"/>
          <w:kern w:val="0"/>
          <w14:ligatures w14:val="none"/>
        </w:rPr>
        <w:t>$201,200 - $301,800</w:t>
      </w:r>
    </w:p>
    <w:p w14:paraId="7CC66B1A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38F"/>
    <w:multiLevelType w:val="multilevel"/>
    <w:tmpl w:val="F23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AB7DF3"/>
    <w:multiLevelType w:val="multilevel"/>
    <w:tmpl w:val="673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695F7B"/>
    <w:multiLevelType w:val="multilevel"/>
    <w:tmpl w:val="94B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678724">
    <w:abstractNumId w:val="0"/>
  </w:num>
  <w:num w:numId="2" w16cid:durableId="2014136839">
    <w:abstractNumId w:val="1"/>
  </w:num>
  <w:num w:numId="3" w16cid:durableId="1823503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D6"/>
    <w:rsid w:val="00640472"/>
    <w:rsid w:val="00951A5A"/>
    <w:rsid w:val="00CE313A"/>
    <w:rsid w:val="00DE5BC5"/>
    <w:rsid w:val="00FE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1913"/>
  <w15:chartTrackingRefBased/>
  <w15:docId w15:val="{7ED274A1-2D73-45CE-80B9-A152DCDA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640</Words>
  <Characters>4010</Characters>
  <Application>Microsoft Office Word</Application>
  <DocSecurity>0</DocSecurity>
  <Lines>91</Lines>
  <Paragraphs>50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2025-11-18T16:28:00Z</dcterms:created>
  <dcterms:modified xsi:type="dcterms:W3CDTF">2025-11-18T16:33:00Z</dcterms:modified>
</cp:coreProperties>
</file>