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5E2A9" w14:textId="77777777" w:rsidR="002B75BC" w:rsidRPr="002B75BC" w:rsidRDefault="002B75BC" w:rsidP="002B75BC">
      <w:r w:rsidRPr="002B75BC">
        <w:t>Senior Medical Director, Drug Safety and Pharmacovigilance (DSPV)</w:t>
      </w:r>
    </w:p>
    <w:p w14:paraId="6E6572B1" w14:textId="77777777" w:rsidR="002B75BC" w:rsidRPr="002B75BC" w:rsidRDefault="002B75BC" w:rsidP="002B75BC">
      <w:r w:rsidRPr="002B75BC">
        <w:rPr>
          <w:b/>
          <w:bCs/>
        </w:rPr>
        <w:t>Company Name:</w:t>
      </w:r>
      <w:r w:rsidRPr="002B75BC">
        <w:br/>
        <w:t>Alkermes</w:t>
      </w:r>
    </w:p>
    <w:p w14:paraId="44EDCF89" w14:textId="77777777" w:rsidR="002B75BC" w:rsidRPr="002B75BC" w:rsidRDefault="002B75BC" w:rsidP="002B75BC">
      <w:r w:rsidRPr="002B75BC">
        <w:rPr>
          <w:b/>
          <w:bCs/>
        </w:rPr>
        <w:t>Location:</w:t>
      </w:r>
      <w:r w:rsidRPr="002B75BC">
        <w:br/>
        <w:t>Waltham, Massachusetts (Hybrid; minimum 3 days/week onsite)</w:t>
      </w:r>
    </w:p>
    <w:p w14:paraId="723F8F83" w14:textId="77777777" w:rsidR="002B75BC" w:rsidRPr="002B75BC" w:rsidRDefault="002B75BC" w:rsidP="002B75BC">
      <w:r w:rsidRPr="002B75BC">
        <w:rPr>
          <w:b/>
          <w:bCs/>
        </w:rPr>
        <w:t>Hiring Manager:</w:t>
      </w:r>
      <w:r w:rsidRPr="002B75BC">
        <w:br/>
        <w:t>Marcus Yountz, VP Clinical Development</w:t>
      </w:r>
    </w:p>
    <w:p w14:paraId="0B717F24" w14:textId="77777777" w:rsidR="002B75BC" w:rsidRPr="002B75BC" w:rsidRDefault="002B75BC" w:rsidP="002B75BC">
      <w:r w:rsidRPr="002B75BC">
        <w:rPr>
          <w:b/>
          <w:bCs/>
        </w:rPr>
        <w:t>Job Summary:</w:t>
      </w:r>
      <w:r w:rsidRPr="002B75BC">
        <w:br/>
        <w:t>Alkermes is seeking a dynamic and high-potential physician to serve as Senior Medical Director and Global Safety Officer (GSO) within the Drug Safety and Pharmacovigilance (DSPV) team. This role is critical to the safety strategy of the company’s Neuroscience portfolio and offers the unique opportunity to influence organizational transformation following recent leadership changes. The successful candidate will be embedded in cross-functional teams, serve as a key advisor in global safety oversight, and contribute both strategically and operationally across the product lifecycle. This individual will report to the VP of Clinical Development, Marcus Yountz, while the company completes an internal search for the new head of DSPV.</w:t>
      </w:r>
    </w:p>
    <w:p w14:paraId="1C2746F2" w14:textId="77777777" w:rsidR="002B75BC" w:rsidRPr="002B75BC" w:rsidRDefault="002B75BC" w:rsidP="002B75BC">
      <w:r w:rsidRPr="002B75BC">
        <w:rPr>
          <w:b/>
          <w:bCs/>
        </w:rPr>
        <w:t>Responsibilities:</w:t>
      </w:r>
    </w:p>
    <w:p w14:paraId="29D9749A" w14:textId="77777777" w:rsidR="002B75BC" w:rsidRPr="002B75BC" w:rsidRDefault="002B75BC" w:rsidP="002B75BC">
      <w:pPr>
        <w:numPr>
          <w:ilvl w:val="0"/>
          <w:numId w:val="1"/>
        </w:numPr>
      </w:pPr>
      <w:r w:rsidRPr="002B75BC">
        <w:t>Provide strategic safety leadership for assigned investigational and marketed products.</w:t>
      </w:r>
    </w:p>
    <w:p w14:paraId="165B04C0" w14:textId="77777777" w:rsidR="002B75BC" w:rsidRPr="002B75BC" w:rsidRDefault="002B75BC" w:rsidP="002B75BC">
      <w:pPr>
        <w:numPr>
          <w:ilvl w:val="0"/>
          <w:numId w:val="1"/>
        </w:numPr>
      </w:pPr>
      <w:r w:rsidRPr="002B75BC">
        <w:t>Serve as the medical expert on product safety in cross-functional forums and regulatory submissions.</w:t>
      </w:r>
    </w:p>
    <w:p w14:paraId="3CD1F432" w14:textId="77777777" w:rsidR="002B75BC" w:rsidRPr="002B75BC" w:rsidRDefault="002B75BC" w:rsidP="002B75BC">
      <w:pPr>
        <w:numPr>
          <w:ilvl w:val="0"/>
          <w:numId w:val="1"/>
        </w:numPr>
      </w:pPr>
      <w:r w:rsidRPr="002B75BC">
        <w:t>Lead safety surveillance, benefit-risk assessments, and signal detection.</w:t>
      </w:r>
    </w:p>
    <w:p w14:paraId="5D91EFB7" w14:textId="77777777" w:rsidR="002B75BC" w:rsidRPr="002B75BC" w:rsidRDefault="002B75BC" w:rsidP="002B75BC">
      <w:pPr>
        <w:numPr>
          <w:ilvl w:val="0"/>
          <w:numId w:val="1"/>
        </w:numPr>
      </w:pPr>
      <w:r w:rsidRPr="002B75BC">
        <w:t>Guide the design of clinical protocols, risk management plans, and safety studies.</w:t>
      </w:r>
    </w:p>
    <w:p w14:paraId="42A6193F" w14:textId="77777777" w:rsidR="002B75BC" w:rsidRPr="002B75BC" w:rsidRDefault="002B75BC" w:rsidP="002B75BC">
      <w:pPr>
        <w:numPr>
          <w:ilvl w:val="0"/>
          <w:numId w:val="1"/>
        </w:numPr>
      </w:pPr>
      <w:r w:rsidRPr="002B75BC">
        <w:t>Represent DSPV in cross-functional program and clinical development teams.</w:t>
      </w:r>
    </w:p>
    <w:p w14:paraId="79235096" w14:textId="77777777" w:rsidR="002B75BC" w:rsidRPr="002B75BC" w:rsidRDefault="002B75BC" w:rsidP="002B75BC">
      <w:pPr>
        <w:numPr>
          <w:ilvl w:val="0"/>
          <w:numId w:val="1"/>
        </w:numPr>
      </w:pPr>
      <w:r w:rsidRPr="002B75BC">
        <w:t>Deliver safety input for key regulatory documents (e.g., IBs, ICFs, DSURs, PSURs, RMPs).</w:t>
      </w:r>
    </w:p>
    <w:p w14:paraId="5AD78E5D" w14:textId="77777777" w:rsidR="002B75BC" w:rsidRPr="002B75BC" w:rsidRDefault="002B75BC" w:rsidP="002B75BC">
      <w:pPr>
        <w:numPr>
          <w:ilvl w:val="0"/>
          <w:numId w:val="1"/>
        </w:numPr>
      </w:pPr>
      <w:r w:rsidRPr="002B75BC">
        <w:t>Act as the safety lead for due diligence and business development initiatives.</w:t>
      </w:r>
    </w:p>
    <w:p w14:paraId="1A7D7A00" w14:textId="77777777" w:rsidR="002B75BC" w:rsidRPr="002B75BC" w:rsidRDefault="002B75BC" w:rsidP="002B75BC">
      <w:pPr>
        <w:numPr>
          <w:ilvl w:val="0"/>
          <w:numId w:val="1"/>
        </w:numPr>
      </w:pPr>
      <w:r w:rsidRPr="002B75BC">
        <w:t>Lead internal safety meetings and clearly communicate complex data to varied stakeholders.</w:t>
      </w:r>
    </w:p>
    <w:p w14:paraId="5ABE2146" w14:textId="77777777" w:rsidR="002B75BC" w:rsidRPr="002B75BC" w:rsidRDefault="002B75BC" w:rsidP="002B75BC">
      <w:r w:rsidRPr="002B75BC">
        <w:rPr>
          <w:b/>
          <w:bCs/>
        </w:rPr>
        <w:t>Required Qualifications:</w:t>
      </w:r>
    </w:p>
    <w:p w14:paraId="4B0F5B03" w14:textId="77777777" w:rsidR="002B75BC" w:rsidRPr="002B75BC" w:rsidRDefault="002B75BC" w:rsidP="002B75BC">
      <w:pPr>
        <w:numPr>
          <w:ilvl w:val="0"/>
          <w:numId w:val="2"/>
        </w:numPr>
      </w:pPr>
      <w:r w:rsidRPr="002B75BC">
        <w:lastRenderedPageBreak/>
        <w:t>MD or MD/PhD required (US board certification not necessary).</w:t>
      </w:r>
    </w:p>
    <w:p w14:paraId="2723611A" w14:textId="77777777" w:rsidR="002B75BC" w:rsidRPr="002B75BC" w:rsidRDefault="002B75BC" w:rsidP="002B75BC">
      <w:pPr>
        <w:numPr>
          <w:ilvl w:val="0"/>
          <w:numId w:val="2"/>
        </w:numPr>
      </w:pPr>
      <w:r w:rsidRPr="002B75BC">
        <w:t>Minimum 8 years in DSPV or related clinical safety roles.</w:t>
      </w:r>
    </w:p>
    <w:p w14:paraId="1350E236" w14:textId="77777777" w:rsidR="002B75BC" w:rsidRPr="002B75BC" w:rsidRDefault="002B75BC" w:rsidP="002B75BC">
      <w:pPr>
        <w:numPr>
          <w:ilvl w:val="0"/>
          <w:numId w:val="2"/>
        </w:numPr>
      </w:pPr>
      <w:r w:rsidRPr="002B75BC">
        <w:t>Demonstrated ability to lead global safety strategy and contribute at the executive level.</w:t>
      </w:r>
    </w:p>
    <w:p w14:paraId="2102FB33" w14:textId="77777777" w:rsidR="002B75BC" w:rsidRPr="002B75BC" w:rsidRDefault="002B75BC" w:rsidP="002B75BC">
      <w:pPr>
        <w:numPr>
          <w:ilvl w:val="0"/>
          <w:numId w:val="2"/>
        </w:numPr>
      </w:pPr>
      <w:r w:rsidRPr="002B75BC">
        <w:t>Experience with both pre- and post-marketing safety.</w:t>
      </w:r>
    </w:p>
    <w:p w14:paraId="0A6B953E" w14:textId="77777777" w:rsidR="002B75BC" w:rsidRPr="002B75BC" w:rsidRDefault="002B75BC" w:rsidP="002B75BC">
      <w:pPr>
        <w:numPr>
          <w:ilvl w:val="0"/>
          <w:numId w:val="2"/>
        </w:numPr>
      </w:pPr>
      <w:r w:rsidRPr="002B75BC">
        <w:t>Excellent communication and leadership skills.</w:t>
      </w:r>
    </w:p>
    <w:p w14:paraId="5C492A76" w14:textId="77777777" w:rsidR="002B75BC" w:rsidRPr="002B75BC" w:rsidRDefault="002B75BC" w:rsidP="002B75BC">
      <w:r w:rsidRPr="002B75BC">
        <w:rPr>
          <w:b/>
          <w:bCs/>
        </w:rPr>
        <w:t>Preferred Qualifications:</w:t>
      </w:r>
    </w:p>
    <w:p w14:paraId="7DEEE0E2" w14:textId="77777777" w:rsidR="002B75BC" w:rsidRPr="002B75BC" w:rsidRDefault="002B75BC" w:rsidP="002B75BC">
      <w:pPr>
        <w:numPr>
          <w:ilvl w:val="0"/>
          <w:numId w:val="3"/>
        </w:numPr>
      </w:pPr>
      <w:r w:rsidRPr="002B75BC">
        <w:t xml:space="preserve">Background in Neuroscience (neurodegeneration, </w:t>
      </w:r>
      <w:proofErr w:type="spellStart"/>
      <w:r w:rsidRPr="002B75BC">
        <w:t>neuropsych</w:t>
      </w:r>
      <w:proofErr w:type="spellEnd"/>
      <w:r w:rsidRPr="002B75BC">
        <w:t>, CNS disorders). Oncology background acceptable if candidate is highly motivated to pivot into neuro.</w:t>
      </w:r>
    </w:p>
    <w:p w14:paraId="50362D25" w14:textId="77777777" w:rsidR="002B75BC" w:rsidRPr="002B75BC" w:rsidRDefault="002B75BC" w:rsidP="002B75BC">
      <w:pPr>
        <w:numPr>
          <w:ilvl w:val="0"/>
          <w:numId w:val="3"/>
        </w:numPr>
      </w:pPr>
      <w:r w:rsidRPr="002B75BC">
        <w:t>Experience leading internal safety meetings and functioning as a Global Safety Officer.</w:t>
      </w:r>
    </w:p>
    <w:p w14:paraId="496EC5C6" w14:textId="77777777" w:rsidR="002B75BC" w:rsidRPr="002B75BC" w:rsidRDefault="002B75BC" w:rsidP="002B75BC">
      <w:pPr>
        <w:numPr>
          <w:ilvl w:val="0"/>
          <w:numId w:val="3"/>
        </w:numPr>
      </w:pPr>
      <w:r w:rsidRPr="002B75BC">
        <w:t>Industry sponsor-side experience (CRO or academic backgrounds will not be considered).</w:t>
      </w:r>
    </w:p>
    <w:p w14:paraId="39A614E5" w14:textId="77777777" w:rsidR="002B75BC" w:rsidRPr="002B75BC" w:rsidRDefault="002B75BC" w:rsidP="002B75BC">
      <w:pPr>
        <w:numPr>
          <w:ilvl w:val="0"/>
          <w:numId w:val="3"/>
        </w:numPr>
      </w:pPr>
      <w:r w:rsidRPr="002B75BC">
        <w:t>Willingness to relocate to the Boston area; hybrid presence preferred (3 days/week onsite).</w:t>
      </w:r>
    </w:p>
    <w:p w14:paraId="337C7879" w14:textId="77777777" w:rsidR="002B75BC" w:rsidRPr="002B75BC" w:rsidRDefault="002B75BC" w:rsidP="002B75BC">
      <w:r w:rsidRPr="002B75BC">
        <w:rPr>
          <w:b/>
          <w:bCs/>
        </w:rPr>
        <w:t>Compensation Range:</w:t>
      </w:r>
    </w:p>
    <w:p w14:paraId="49268748" w14:textId="77777777" w:rsidR="002B75BC" w:rsidRPr="002B75BC" w:rsidRDefault="002B75BC" w:rsidP="002B75BC">
      <w:pPr>
        <w:numPr>
          <w:ilvl w:val="0"/>
          <w:numId w:val="4"/>
        </w:numPr>
      </w:pPr>
      <w:r w:rsidRPr="002B75BC">
        <w:t>Salary: $320,000 – $358,000</w:t>
      </w:r>
    </w:p>
    <w:p w14:paraId="6620C060" w14:textId="77777777" w:rsidR="002B75BC" w:rsidRPr="002B75BC" w:rsidRDefault="002B75BC" w:rsidP="002B75BC">
      <w:pPr>
        <w:numPr>
          <w:ilvl w:val="0"/>
          <w:numId w:val="4"/>
        </w:numPr>
      </w:pPr>
      <w:r w:rsidRPr="002B75BC">
        <w:t>Target Bonus: 25%</w:t>
      </w:r>
    </w:p>
    <w:p w14:paraId="1181204F" w14:textId="77777777" w:rsidR="002B75BC" w:rsidRPr="002B75BC" w:rsidRDefault="002B75BC" w:rsidP="002B75BC">
      <w:pPr>
        <w:numPr>
          <w:ilvl w:val="0"/>
          <w:numId w:val="4"/>
        </w:numPr>
      </w:pPr>
      <w:r w:rsidRPr="002B75BC">
        <w:t>Sign-on bonuses considered</w:t>
      </w:r>
    </w:p>
    <w:p w14:paraId="21C12CBA" w14:textId="77777777" w:rsidR="002B75BC" w:rsidRPr="002B75BC" w:rsidRDefault="002B75BC" w:rsidP="002B75BC">
      <w:pPr>
        <w:numPr>
          <w:ilvl w:val="0"/>
          <w:numId w:val="4"/>
        </w:numPr>
      </w:pPr>
      <w:r w:rsidRPr="002B75BC">
        <w:t>Relocation support may be available</w:t>
      </w:r>
    </w:p>
    <w:p w14:paraId="5C9CB533"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025D8"/>
    <w:multiLevelType w:val="multilevel"/>
    <w:tmpl w:val="310A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6644C"/>
    <w:multiLevelType w:val="multilevel"/>
    <w:tmpl w:val="0B5A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74D3F"/>
    <w:multiLevelType w:val="multilevel"/>
    <w:tmpl w:val="3F62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043B1"/>
    <w:multiLevelType w:val="multilevel"/>
    <w:tmpl w:val="4616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728884">
    <w:abstractNumId w:val="3"/>
  </w:num>
  <w:num w:numId="2" w16cid:durableId="549919138">
    <w:abstractNumId w:val="1"/>
  </w:num>
  <w:num w:numId="3" w16cid:durableId="2120027307">
    <w:abstractNumId w:val="0"/>
  </w:num>
  <w:num w:numId="4" w16cid:durableId="1384869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5BC"/>
    <w:rsid w:val="002B75BC"/>
    <w:rsid w:val="007E7199"/>
    <w:rsid w:val="00C25AE1"/>
    <w:rsid w:val="00C93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06481"/>
  <w15:chartTrackingRefBased/>
  <w15:docId w15:val="{F2773C30-650D-489A-AAAD-9665380AB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5BC"/>
    <w:rPr>
      <w:rFonts w:eastAsiaTheme="majorEastAsia" w:cstheme="majorBidi"/>
      <w:color w:val="272727" w:themeColor="text1" w:themeTint="D8"/>
    </w:rPr>
  </w:style>
  <w:style w:type="paragraph" w:styleId="Title">
    <w:name w:val="Title"/>
    <w:basedOn w:val="Normal"/>
    <w:next w:val="Normal"/>
    <w:link w:val="TitleChar"/>
    <w:uiPriority w:val="10"/>
    <w:qFormat/>
    <w:rsid w:val="002B7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5BC"/>
    <w:pPr>
      <w:spacing w:before="160"/>
      <w:jc w:val="center"/>
    </w:pPr>
    <w:rPr>
      <w:i/>
      <w:iCs/>
      <w:color w:val="404040" w:themeColor="text1" w:themeTint="BF"/>
    </w:rPr>
  </w:style>
  <w:style w:type="character" w:customStyle="1" w:styleId="QuoteChar">
    <w:name w:val="Quote Char"/>
    <w:basedOn w:val="DefaultParagraphFont"/>
    <w:link w:val="Quote"/>
    <w:uiPriority w:val="29"/>
    <w:rsid w:val="002B75BC"/>
    <w:rPr>
      <w:i/>
      <w:iCs/>
      <w:color w:val="404040" w:themeColor="text1" w:themeTint="BF"/>
    </w:rPr>
  </w:style>
  <w:style w:type="paragraph" w:styleId="ListParagraph">
    <w:name w:val="List Paragraph"/>
    <w:basedOn w:val="Normal"/>
    <w:uiPriority w:val="34"/>
    <w:qFormat/>
    <w:rsid w:val="002B75BC"/>
    <w:pPr>
      <w:ind w:left="720"/>
      <w:contextualSpacing/>
    </w:pPr>
  </w:style>
  <w:style w:type="character" w:styleId="IntenseEmphasis">
    <w:name w:val="Intense Emphasis"/>
    <w:basedOn w:val="DefaultParagraphFont"/>
    <w:uiPriority w:val="21"/>
    <w:qFormat/>
    <w:rsid w:val="002B75BC"/>
    <w:rPr>
      <w:i/>
      <w:iCs/>
      <w:color w:val="0F4761" w:themeColor="accent1" w:themeShade="BF"/>
    </w:rPr>
  </w:style>
  <w:style w:type="paragraph" w:styleId="IntenseQuote">
    <w:name w:val="Intense Quote"/>
    <w:basedOn w:val="Normal"/>
    <w:next w:val="Normal"/>
    <w:link w:val="IntenseQuoteChar"/>
    <w:uiPriority w:val="30"/>
    <w:qFormat/>
    <w:rsid w:val="002B7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5BC"/>
    <w:rPr>
      <w:i/>
      <w:iCs/>
      <w:color w:val="0F4761" w:themeColor="accent1" w:themeShade="BF"/>
    </w:rPr>
  </w:style>
  <w:style w:type="character" w:styleId="IntenseReference">
    <w:name w:val="Intense Reference"/>
    <w:basedOn w:val="DefaultParagraphFont"/>
    <w:uiPriority w:val="32"/>
    <w:qFormat/>
    <w:rsid w:val="002B75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32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344</Words>
  <Characters>2237</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2025-04-16T15:13:00Z</dcterms:created>
  <dcterms:modified xsi:type="dcterms:W3CDTF">2025-04-16T15:14:00Z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57737a54-838b-4630-8bf0-fbddd634a33e</vt:lpwstr>
  </property>
</Properties>
</file>