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41FA" w14:textId="63D8506B" w:rsidR="000C4984" w:rsidRPr="000C4984" w:rsidRDefault="000C4984" w:rsidP="000C4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Associate Director/Director, Patient Safety Operations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Ionis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Remote 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Number: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IONIS003930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Type: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Full-Time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Hiring Managers: 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Urmi Davda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Mohammed Baseer Ahmed</w:t>
      </w:r>
    </w:p>
    <w:p w14:paraId="27822376" w14:textId="77777777" w:rsidR="000C4984" w:rsidRPr="000C4984" w:rsidRDefault="000C4984" w:rsidP="000C4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46972149" w14:textId="77777777" w:rsidR="000C4984" w:rsidRPr="000C4984" w:rsidRDefault="000C4984" w:rsidP="000C4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Ionis is seeking an Associate Director/Director, Patient Safety Operations to lead and oversee day-to-day global safety operations across clinical development and post-marketing programs. This role is a key operational leader within Patient Safety and Pharmacovigilance, partnering cross-functionally to ensure compliant, high-quality safety execution across case processing, expedited reporting, vendor oversight, safety data exchange agreements, aggregate reporting support, safety systems administration, and inspection readiness.</w:t>
      </w:r>
    </w:p>
    <w:p w14:paraId="2EE4C8EF" w14:textId="341E15AD" w:rsidR="000C4984" w:rsidRPr="000C4984" w:rsidRDefault="000C4984" w:rsidP="000C4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Responsibilities </w:t>
      </w:r>
    </w:p>
    <w:p w14:paraId="19FD4361" w14:textId="77777777" w:rsidR="000C4984" w:rsidRPr="000C4984" w:rsidRDefault="000C4984" w:rsidP="000C4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Lead day-to-day Patient Safety Operations across clinical and post-marketing programs, managing both macro planning and detailed execution.</w:t>
      </w:r>
    </w:p>
    <w:p w14:paraId="240EAFD0" w14:textId="77777777" w:rsidR="000C4984" w:rsidRPr="000C4984" w:rsidRDefault="000C4984" w:rsidP="000C4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Oversee case processing workflows, timelines, and quality in partnership with internal teams, vendors, CROs, and business partners.</w:t>
      </w:r>
    </w:p>
    <w:p w14:paraId="627B94A7" w14:textId="77777777" w:rsidR="000C4984" w:rsidRPr="000C4984" w:rsidRDefault="000C4984" w:rsidP="000C4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Own vendor oversight for safety operations, including KPI performance, compliance to contracts/agreements, and issue escalation.</w:t>
      </w:r>
    </w:p>
    <w:p w14:paraId="3A02BF8F" w14:textId="77777777" w:rsidR="000C4984" w:rsidRPr="000C4984" w:rsidRDefault="000C4984" w:rsidP="000C4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Manage third-party quality events, drive CAPA development and closure, and implement operational process improvements.</w:t>
      </w:r>
    </w:p>
    <w:p w14:paraId="167B9237" w14:textId="77777777" w:rsidR="000C4984" w:rsidRPr="000C4984" w:rsidRDefault="000C4984" w:rsidP="000C4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Maintain and monitor global SUSAR compliance metrics, including oversight of expedited reporting tracking and submissions.</w:t>
      </w:r>
    </w:p>
    <w:p w14:paraId="1DA5037A" w14:textId="77777777" w:rsidR="000C4984" w:rsidRPr="000C4984" w:rsidRDefault="000C4984" w:rsidP="000C4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Support safety systems and safety database operations (Argus required), including configuration updates, data quality, and validation activities in partnership with IT and system providers.</w:t>
      </w:r>
    </w:p>
    <w:p w14:paraId="5E831B56" w14:textId="77777777" w:rsidR="000C4984" w:rsidRPr="000C4984" w:rsidRDefault="000C4984" w:rsidP="000C4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Drive inspection readiness and support audit/inspection execution (pre, during, and post), ensuring documentation integrity and process adherence.</w:t>
      </w:r>
    </w:p>
    <w:p w14:paraId="66BC9F09" w14:textId="11ED5ABF" w:rsidR="000C4984" w:rsidRPr="000C4984" w:rsidRDefault="000C4984" w:rsidP="000C4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6D2E1294" w14:textId="77777777" w:rsidR="000C4984" w:rsidRPr="000C4984" w:rsidRDefault="000C4984" w:rsidP="000C4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12+ years of experience in drug safety/pharmacovigilance, including operational leadership responsibility.</w:t>
      </w:r>
    </w:p>
    <w:p w14:paraId="1B8BB0B4" w14:textId="77777777" w:rsidR="000C4984" w:rsidRPr="000C4984" w:rsidRDefault="000C4984" w:rsidP="000C4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Degree in life sciences or equivalent relevant experience (HCP background acceptable; MD not required).</w:t>
      </w:r>
    </w:p>
    <w:p w14:paraId="5906A375" w14:textId="77777777" w:rsidR="000C4984" w:rsidRPr="000C4984" w:rsidRDefault="000C4984" w:rsidP="000C4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Strong working knowledge of global PV regulations and safety reporting requirements (ICH, FDA, EMA, MHRA, etc.).</w:t>
      </w:r>
    </w:p>
    <w:p w14:paraId="6EB9B6F0" w14:textId="77777777" w:rsidR="000C4984" w:rsidRPr="000C4984" w:rsidRDefault="000C4984" w:rsidP="000C4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Argus experience required (hands-on system knowledge and operational understanding).</w:t>
      </w:r>
    </w:p>
    <w:p w14:paraId="65AC038E" w14:textId="77777777" w:rsidR="000C4984" w:rsidRPr="000C4984" w:rsidRDefault="000C4984" w:rsidP="000C4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Demonstrated experience managing vendors and third-party partners, including KPIs, compliance, and issue remediation (CAPAs).</w:t>
      </w:r>
    </w:p>
    <w:p w14:paraId="13114DDC" w14:textId="77777777" w:rsidR="000C4984" w:rsidRPr="000C4984" w:rsidRDefault="000C4984" w:rsidP="000C4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Proven ability to manage complex operational projects across global timelines with high attention to quality and compliance.</w:t>
      </w:r>
    </w:p>
    <w:p w14:paraId="19E49A49" w14:textId="77777777" w:rsidR="000C4984" w:rsidRPr="000C4984" w:rsidRDefault="000C4984" w:rsidP="000C4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Excellent communication skills (written and verbal English) and proficiency in commonly used Microsoft applications.</w:t>
      </w:r>
    </w:p>
    <w:p w14:paraId="71FFA02F" w14:textId="77777777" w:rsidR="000C4984" w:rsidRPr="000C4984" w:rsidRDefault="000C4984" w:rsidP="000C4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Qualifications</w:t>
      </w:r>
    </w:p>
    <w:p w14:paraId="76B117B8" w14:textId="77777777" w:rsidR="000C4984" w:rsidRPr="000C4984" w:rsidRDefault="000C4984" w:rsidP="000C4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Experience with Veeva, eTMF, and EDC systems.</w:t>
      </w:r>
    </w:p>
    <w:p w14:paraId="02E7D65F" w14:textId="77777777" w:rsidR="000C4984" w:rsidRPr="000C4984" w:rsidRDefault="000C4984" w:rsidP="000C4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 involvement in regulatory inspections/</w:t>
      </w:r>
      <w:proofErr w:type="gramStart"/>
      <w:r w:rsidRPr="000C4984">
        <w:rPr>
          <w:rFonts w:ascii="Times New Roman" w:eastAsia="Times New Roman" w:hAnsi="Times New Roman" w:cs="Times New Roman"/>
          <w:kern w:val="0"/>
          <w14:ligatures w14:val="none"/>
        </w:rPr>
        <w:t>audits</w:t>
      </w:r>
      <w:proofErr w:type="gramEnd"/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(front room or back room experience strongly preferred).</w:t>
      </w:r>
    </w:p>
    <w:p w14:paraId="1317BCFA" w14:textId="77777777" w:rsidR="000C4984" w:rsidRPr="000C4984" w:rsidRDefault="000C4984" w:rsidP="000C4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kern w:val="0"/>
          <w14:ligatures w14:val="none"/>
        </w:rPr>
        <w:t>Experience supporting pharmacovigilance agreements (PVAs) and safety data exchange agreements (SDEAs), including tracker ownership and operational governance.</w:t>
      </w:r>
    </w:p>
    <w:p w14:paraId="10B97AB9" w14:textId="77777777" w:rsidR="000C4984" w:rsidRPr="000C4984" w:rsidRDefault="000C4984" w:rsidP="000C4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 Range</w:t>
      </w:r>
    </w:p>
    <w:p w14:paraId="36A5C2A8" w14:textId="77777777" w:rsidR="000C4984" w:rsidRPr="000C4984" w:rsidRDefault="000C4984" w:rsidP="000C4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pay scale: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$186,666 to $251,068</w:t>
      </w:r>
    </w:p>
    <w:p w14:paraId="10296A65" w14:textId="77777777" w:rsidR="000C4984" w:rsidRPr="000C4984" w:rsidRDefault="000C4984" w:rsidP="000C4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 pay scale: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$186,666 to $221,450</w:t>
      </w:r>
    </w:p>
    <w:p w14:paraId="1FE3637C" w14:textId="77777777" w:rsidR="000C4984" w:rsidRPr="000C4984" w:rsidRDefault="000C4984" w:rsidP="000C4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 pay scale:</w:t>
      </w:r>
      <w:r w:rsidRPr="000C4984">
        <w:rPr>
          <w:rFonts w:ascii="Times New Roman" w:eastAsia="Times New Roman" w:hAnsi="Times New Roman" w:cs="Times New Roman"/>
          <w:kern w:val="0"/>
          <w14:ligatures w14:val="none"/>
        </w:rPr>
        <w:t xml:space="preserve"> $220,031 to $251,068</w:t>
      </w:r>
    </w:p>
    <w:p w14:paraId="66C240F8" w14:textId="77777777" w:rsidR="00DE5BC5" w:rsidRDefault="00DE5BC5"/>
    <w:sectPr w:rsidR="00DE5BC5" w:rsidSect="000C49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A2C"/>
    <w:multiLevelType w:val="multilevel"/>
    <w:tmpl w:val="12D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B328E"/>
    <w:multiLevelType w:val="multilevel"/>
    <w:tmpl w:val="74A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D108D"/>
    <w:multiLevelType w:val="multilevel"/>
    <w:tmpl w:val="803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D1699"/>
    <w:multiLevelType w:val="multilevel"/>
    <w:tmpl w:val="616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92600">
    <w:abstractNumId w:val="2"/>
  </w:num>
  <w:num w:numId="2" w16cid:durableId="1780225204">
    <w:abstractNumId w:val="0"/>
  </w:num>
  <w:num w:numId="3" w16cid:durableId="1988430578">
    <w:abstractNumId w:val="3"/>
  </w:num>
  <w:num w:numId="4" w16cid:durableId="374433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84"/>
    <w:rsid w:val="000C4984"/>
    <w:rsid w:val="00640472"/>
    <w:rsid w:val="00793363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F7E4"/>
  <w15:chartTrackingRefBased/>
  <w15:docId w15:val="{F49D73E1-C4C9-4496-BE95-0B0433C6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2682</Characters>
  <Application>Microsoft Office Word</Application>
  <DocSecurity>0</DocSecurity>
  <Lines>50</Lines>
  <Paragraphs>29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2026-01-26T22:23:00Z</dcterms:created>
  <dcterms:modified xsi:type="dcterms:W3CDTF">2026-01-26T22:26:00Z</dcterms:modified>
</cp:coreProperties>
</file>