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CDF5" w14:textId="77777777" w:rsidR="00E4723E" w:rsidRPr="00E4723E" w:rsidRDefault="00E4723E" w:rsidP="00E47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 Medical Director, Drug Safety / Pharmacovigilance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 Ionis Pharmaceuticals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 Remote (must reside within the United States)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 Muneet Burke, Safety Team Lead (Hiring Manager)</w:t>
      </w:r>
    </w:p>
    <w:p w14:paraId="32E133CE" w14:textId="77777777" w:rsidR="00E4723E" w:rsidRPr="00E4723E" w:rsidRDefault="00E4723E" w:rsidP="00E472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pict w14:anchorId="47D9780B">
          <v:rect id="_x0000_i1025" style="width:0;height:1.5pt" o:hralign="center" o:hrstd="t" o:hr="t" fillcolor="#a0a0a0" stroked="f"/>
        </w:pict>
      </w:r>
    </w:p>
    <w:p w14:paraId="048D2CCC" w14:textId="77777777" w:rsidR="00E4723E" w:rsidRPr="00E4723E" w:rsidRDefault="00E4723E" w:rsidP="00E47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Summary</w:t>
      </w:r>
    </w:p>
    <w:p w14:paraId="36FC421C" w14:textId="77777777" w:rsidR="00E4723E" w:rsidRPr="00E4723E" w:rsidRDefault="00E4723E" w:rsidP="00E47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Ionis Pharmaceuticals — a pioneer in RNA-targeted therapeutics — is expanding its Drug Safety organization to support both its growing </w:t>
      </w: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cardiometabolic commercial footprint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 and an advancing late-stage pipeline. This role will serve as the </w:t>
      </w: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Director, Drug Safety / PV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 with immediate impact on </w:t>
      </w: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post-market safety oversight for </w:t>
      </w:r>
      <w:proofErr w:type="spellStart"/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Tryngolza</w:t>
      </w:r>
      <w:proofErr w:type="spellEnd"/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olezarsen</w:t>
      </w:r>
      <w:proofErr w:type="spellEnd"/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clinical safety strategy across ATTR-CM, </w:t>
      </w:r>
      <w:proofErr w:type="spellStart"/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Lp</w:t>
      </w:r>
      <w:proofErr w:type="spellEnd"/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(a), and severe hypertriglyceridemia programs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810843" w14:textId="77777777" w:rsidR="00E4723E" w:rsidRPr="00E4723E" w:rsidRDefault="00E4723E" w:rsidP="00E47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The Medical Director will partner cross-functionally with Clinical Development, Regulatory, and the Safety Oversight Committee (SOC) to ensure scientifically rigorous safety evaluation, signal detection, and global risk-mitigation activities across marketed and investigational programs.</w:t>
      </w:r>
    </w:p>
    <w:p w14:paraId="1F26AEE2" w14:textId="77777777" w:rsidR="00E4723E" w:rsidRPr="00E4723E" w:rsidRDefault="00E4723E" w:rsidP="00E472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pict w14:anchorId="7CDF1416">
          <v:rect id="_x0000_i1026" style="width:0;height:1.5pt" o:hralign="center" o:hrstd="t" o:hr="t" fillcolor="#a0a0a0" stroked="f"/>
        </w:pict>
      </w:r>
    </w:p>
    <w:p w14:paraId="2A0FE4F3" w14:textId="77777777" w:rsidR="00E4723E" w:rsidRPr="00E4723E" w:rsidRDefault="00E4723E" w:rsidP="00E47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Responsibilities</w:t>
      </w:r>
    </w:p>
    <w:p w14:paraId="3ECF17BE" w14:textId="77777777" w:rsidR="00E4723E" w:rsidRPr="00E4723E" w:rsidRDefault="00E4723E" w:rsidP="00E47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(Aligned with Ionis’s published role expectations — — tailored to cardiometabolic/post-market scope)</w:t>
      </w:r>
    </w:p>
    <w:p w14:paraId="29CEA938" w14:textId="77777777" w:rsidR="00E4723E" w:rsidRPr="00E4723E" w:rsidRDefault="00E4723E" w:rsidP="00E4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Serve as the safety physician for </w:t>
      </w:r>
      <w:proofErr w:type="spellStart"/>
      <w:r w:rsidRPr="00E4723E">
        <w:rPr>
          <w:rFonts w:ascii="Times New Roman" w:eastAsia="Times New Roman" w:hAnsi="Times New Roman" w:cs="Times New Roman"/>
          <w:kern w:val="0"/>
          <w14:ligatures w14:val="none"/>
        </w:rPr>
        <w:t>Tryngolza</w:t>
      </w:r>
      <w:proofErr w:type="spellEnd"/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4723E">
        <w:rPr>
          <w:rFonts w:ascii="Times New Roman" w:eastAsia="Times New Roman" w:hAnsi="Times New Roman" w:cs="Times New Roman"/>
          <w:kern w:val="0"/>
          <w14:ligatures w14:val="none"/>
        </w:rPr>
        <w:t>olezarsen</w:t>
      </w:r>
      <w:proofErr w:type="spellEnd"/>
      <w:r w:rsidRPr="00E4723E">
        <w:rPr>
          <w:rFonts w:ascii="Times New Roman" w:eastAsia="Times New Roman" w:hAnsi="Times New Roman" w:cs="Times New Roman"/>
          <w:kern w:val="0"/>
          <w14:ligatures w14:val="none"/>
        </w:rPr>
        <w:t>), leading post-marketing signal detection, aggregate safety analysis, and all global safety deliverables (RMPs, PSUR/PBRERs, benefit-risk evaluations).</w:t>
      </w:r>
    </w:p>
    <w:p w14:paraId="783E90F9" w14:textId="77777777" w:rsidR="00E4723E" w:rsidRPr="00E4723E" w:rsidRDefault="00E4723E" w:rsidP="00E4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Lead clinical safety strategy for late-stage cardiometabolic assets, including programs in </w:t>
      </w: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ATTR-CM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Lp</w:t>
      </w:r>
      <w:proofErr w:type="spellEnd"/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(a)-driven cardiovascular disease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severe hypertriglyceridemia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4C932D" w14:textId="77777777" w:rsidR="00E4723E" w:rsidRPr="00E4723E" w:rsidRDefault="00E4723E" w:rsidP="00E4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Interpret clinical and post-marketing safety data, including literature, spontaneous reports, and clinical datasets, to characterize and communicate evolving safety profiles.</w:t>
      </w:r>
    </w:p>
    <w:p w14:paraId="7BB6DC6B" w14:textId="77777777" w:rsidR="00E4723E" w:rsidRPr="00E4723E" w:rsidRDefault="00E4723E" w:rsidP="00E4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Author and provide medical </w:t>
      </w:r>
      <w:proofErr w:type="gramStart"/>
      <w:r w:rsidRPr="00E4723E">
        <w:rPr>
          <w:rFonts w:ascii="Times New Roman" w:eastAsia="Times New Roman" w:hAnsi="Times New Roman" w:cs="Times New Roman"/>
          <w:kern w:val="0"/>
          <w14:ligatures w14:val="none"/>
        </w:rPr>
        <w:t>review</w:t>
      </w:r>
      <w:proofErr w:type="gramEnd"/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 of regulatory safety documents including </w:t>
      </w: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RMPs, PSUR/PBRERs, IBs, ICFs, CSRs, DSURs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, and safety sections of IND/MAA submissions.</w:t>
      </w:r>
    </w:p>
    <w:p w14:paraId="3132E21E" w14:textId="77777777" w:rsidR="00E4723E" w:rsidRPr="00E4723E" w:rsidRDefault="00E4723E" w:rsidP="00E4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Provide medical judgment on complex safety issues and guide risk-mitigation strategies for both marketed products and investigational therapies.</w:t>
      </w:r>
    </w:p>
    <w:p w14:paraId="08196C72" w14:textId="77777777" w:rsidR="00E4723E" w:rsidRPr="00E4723E" w:rsidRDefault="00E4723E" w:rsidP="00E4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Present safety data to internal governance bodies (SOC), external advisory boards, and Data Safety Monitoring Boards (DSMBs).</w:t>
      </w:r>
    </w:p>
    <w:p w14:paraId="52621932" w14:textId="77777777" w:rsidR="00E4723E" w:rsidRPr="00E4723E" w:rsidRDefault="00E4723E" w:rsidP="00E4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Lead or support benefit-risk assessments in response to Health Authority queries.</w:t>
      </w:r>
    </w:p>
    <w:p w14:paraId="186D6D75" w14:textId="77777777" w:rsidR="00E4723E" w:rsidRPr="00E4723E" w:rsidRDefault="00E4723E" w:rsidP="00E4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Collaborate with partner companies on shared development programs; review Safety Data Exchange Agreements and jointly prepare routine safety summaries.</w:t>
      </w:r>
    </w:p>
    <w:p w14:paraId="390CD043" w14:textId="77777777" w:rsidR="00E4723E" w:rsidRPr="00E4723E" w:rsidRDefault="00E4723E" w:rsidP="00E4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Contribute to inspection readiness, SOP updates, audits, and vendor oversight.</w:t>
      </w:r>
    </w:p>
    <w:p w14:paraId="3B9E5B01" w14:textId="77777777" w:rsidR="00E4723E" w:rsidRPr="00E4723E" w:rsidRDefault="00E4723E" w:rsidP="00E4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Stay current on cardiometabolic clinical landscape, including lipidology, amyloidosis, and emerging RNA-targeted technologies.</w:t>
      </w:r>
    </w:p>
    <w:p w14:paraId="451605D6" w14:textId="77777777" w:rsidR="00E4723E" w:rsidRPr="00E4723E" w:rsidRDefault="00E4723E" w:rsidP="00E472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pict w14:anchorId="151284E2">
          <v:rect id="_x0000_i1027" style="width:0;height:1.5pt" o:hralign="center" o:hrstd="t" o:hr="t" fillcolor="#a0a0a0" stroked="f"/>
        </w:pict>
      </w:r>
    </w:p>
    <w:p w14:paraId="78EABFBA" w14:textId="77777777" w:rsidR="00E4723E" w:rsidRPr="00E4723E" w:rsidRDefault="00E4723E" w:rsidP="00E47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Qualifications</w:t>
      </w:r>
    </w:p>
    <w:p w14:paraId="60CA2C5E" w14:textId="77777777" w:rsidR="00E4723E" w:rsidRPr="00E4723E" w:rsidRDefault="00E4723E" w:rsidP="00E4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Medical Degree (MD, MBBS or equivalent).</w:t>
      </w:r>
    </w:p>
    <w:p w14:paraId="4714FE45" w14:textId="77777777" w:rsidR="00E4723E" w:rsidRPr="00E4723E" w:rsidRDefault="00E4723E" w:rsidP="00E4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5+ years post-marketing pharmacovigilance experience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 in biotech or pharma, with demonstrated authorship of </w:t>
      </w: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RMPs, PSUR/PBRERs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, and leadership of risk-mitigation activities.</w:t>
      </w:r>
    </w:p>
    <w:p w14:paraId="0B6B7B08" w14:textId="77777777" w:rsidR="00E4723E" w:rsidRPr="00E4723E" w:rsidRDefault="00E4723E" w:rsidP="00E4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Strong background in clinical medicine with the ability to interpret complex clinical safety signals.</w:t>
      </w:r>
    </w:p>
    <w:p w14:paraId="355B8CD7" w14:textId="77777777" w:rsidR="00E4723E" w:rsidRPr="00E4723E" w:rsidRDefault="00E4723E" w:rsidP="00E4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Experience supporting </w:t>
      </w: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marketed products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, ideally including rare disease or cardiometabolic agents.</w:t>
      </w:r>
    </w:p>
    <w:p w14:paraId="1436F105" w14:textId="77777777" w:rsidR="00E4723E" w:rsidRPr="00E4723E" w:rsidRDefault="00E4723E" w:rsidP="00E4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Proven ability to lead signal management, benefit-risk evaluations, and HA interactions.</w:t>
      </w:r>
    </w:p>
    <w:p w14:paraId="1AC90949" w14:textId="77777777" w:rsidR="00E4723E" w:rsidRPr="00E4723E" w:rsidRDefault="00E4723E" w:rsidP="00E4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Excellent cross-functional collaboration skills; ability to influence and communicate across varied technical and leadership levels.</w:t>
      </w:r>
    </w:p>
    <w:p w14:paraId="2D75FF66" w14:textId="77777777" w:rsidR="00E4723E" w:rsidRPr="00E4723E" w:rsidRDefault="00E4723E" w:rsidP="00E472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pict w14:anchorId="0280935E">
          <v:rect id="_x0000_i1028" style="width:0;height:1.5pt" o:hralign="center" o:hrstd="t" o:hr="t" fillcolor="#a0a0a0" stroked="f"/>
        </w:pict>
      </w:r>
    </w:p>
    <w:p w14:paraId="22D3C9A4" w14:textId="77777777" w:rsidR="00E4723E" w:rsidRPr="00E4723E" w:rsidRDefault="00E4723E" w:rsidP="00E47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Preferred Qualifications</w:t>
      </w:r>
    </w:p>
    <w:p w14:paraId="31EB6D66" w14:textId="77777777" w:rsidR="00E4723E" w:rsidRPr="00E4723E" w:rsidRDefault="00E4723E" w:rsidP="00E4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Experience with rare cardiometabolic or lipidology products (FCS, severe HTG, ATTR-CM, </w:t>
      </w:r>
      <w:proofErr w:type="spellStart"/>
      <w:r w:rsidRPr="00E4723E">
        <w:rPr>
          <w:rFonts w:ascii="Times New Roman" w:eastAsia="Times New Roman" w:hAnsi="Times New Roman" w:cs="Times New Roman"/>
          <w:kern w:val="0"/>
          <w14:ligatures w14:val="none"/>
        </w:rPr>
        <w:t>Lp</w:t>
      </w:r>
      <w:proofErr w:type="spellEnd"/>
      <w:r w:rsidRPr="00E4723E">
        <w:rPr>
          <w:rFonts w:ascii="Times New Roman" w:eastAsia="Times New Roman" w:hAnsi="Times New Roman" w:cs="Times New Roman"/>
          <w:kern w:val="0"/>
          <w14:ligatures w14:val="none"/>
        </w:rPr>
        <w:t>(a)).</w:t>
      </w:r>
    </w:p>
    <w:p w14:paraId="2FD0AD36" w14:textId="77777777" w:rsidR="00E4723E" w:rsidRPr="00E4723E" w:rsidRDefault="00E4723E" w:rsidP="00E4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Prior involvement in RNA-targeted therapeutics or novel modality drug development.</w:t>
      </w:r>
    </w:p>
    <w:p w14:paraId="7391AB35" w14:textId="77777777" w:rsidR="00E4723E" w:rsidRPr="00E4723E" w:rsidRDefault="00E4723E" w:rsidP="00E4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t>Experience with both development-stage and commercial-stage assets.</w:t>
      </w:r>
    </w:p>
    <w:p w14:paraId="3662121B" w14:textId="77777777" w:rsidR="00E4723E" w:rsidRPr="00E4723E" w:rsidRDefault="00E4723E" w:rsidP="00E472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kern w:val="0"/>
          <w14:ligatures w14:val="none"/>
        </w:rPr>
        <w:pict w14:anchorId="19A238A5">
          <v:rect id="_x0000_i1029" style="width:0;height:1.5pt" o:hralign="center" o:hrstd="t" o:hr="t" fillcolor="#a0a0a0" stroked="f"/>
        </w:pict>
      </w:r>
    </w:p>
    <w:p w14:paraId="6B5D6767" w14:textId="77777777" w:rsidR="00E4723E" w:rsidRPr="00E4723E" w:rsidRDefault="00E4723E" w:rsidP="00E47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2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Compensation</w:t>
      </w:r>
    </w:p>
    <w:p w14:paraId="7954D333" w14:textId="77777777" w:rsidR="00E4723E" w:rsidRPr="00E4723E" w:rsidRDefault="00E4723E" w:rsidP="00E47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Salary: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 $275,000–$314,000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7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Additional:</w:t>
      </w:r>
      <w:r w:rsidRPr="00E4723E">
        <w:rPr>
          <w:rFonts w:ascii="Times New Roman" w:eastAsia="Times New Roman" w:hAnsi="Times New Roman" w:cs="Times New Roman"/>
          <w:kern w:val="0"/>
          <w14:ligatures w14:val="none"/>
        </w:rPr>
        <w:t xml:space="preserve"> Annual bonus, RSUs, comprehensive benefits, and additional incentives aligned with Ionis’s total rewards philosophy.</w:t>
      </w:r>
    </w:p>
    <w:p w14:paraId="40491677" w14:textId="77777777" w:rsidR="00DE5BC5" w:rsidRDefault="00DE5BC5"/>
    <w:sectPr w:rsidR="00DE5BC5" w:rsidSect="00E472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E687F"/>
    <w:multiLevelType w:val="multilevel"/>
    <w:tmpl w:val="BE4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C7B6F"/>
    <w:multiLevelType w:val="multilevel"/>
    <w:tmpl w:val="2A8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26B95"/>
    <w:multiLevelType w:val="multilevel"/>
    <w:tmpl w:val="246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523161">
    <w:abstractNumId w:val="0"/>
  </w:num>
  <w:num w:numId="2" w16cid:durableId="860242185">
    <w:abstractNumId w:val="1"/>
  </w:num>
  <w:num w:numId="3" w16cid:durableId="558177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3E"/>
    <w:rsid w:val="00640472"/>
    <w:rsid w:val="00754D5F"/>
    <w:rsid w:val="00CE313A"/>
    <w:rsid w:val="00DE5BC5"/>
    <w:rsid w:val="00E4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52B55"/>
  <w15:chartTrackingRefBased/>
  <w15:docId w15:val="{1958A14C-695D-420B-954A-34D08FA2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3186</Characters>
  <Application>Microsoft Office Word</Application>
  <DocSecurity>0</DocSecurity>
  <Lines>56</Lines>
  <Paragraphs>29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2025-12-05T14:30:00Z</dcterms:created>
  <dcterms:modified xsi:type="dcterms:W3CDTF">2025-12-05T14:30:00Z</dcterms:modified>
</cp:coreProperties>
</file>