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B3A6B" w:val="clear"/>
            <w:tcMar>
              <w:top w:type="dxa" w:w="2880"/>
              <w:left w:type="dxa" w:w="1440"/>
              <w:bottom w:type="dxa" w:w="2880"/>
              <w:right w:type="dxa" w:w="1440"/>
            </w:tcMar>
            <w:vAlign w:val="center"/>
          </w:tcPr>
          <w:p>
            <w:pPr>
              <w:spacing w:before="0" w:after="120"/>
              <w:jc w:val="center"/>
            </w:pPr>
            <w:r>
              <w:rPr>
                <w:rFonts w:ascii="Arial" w:cs="Arial" w:eastAsia="Arial" w:hAnsi="Arial"/>
                <w:b/>
                <w:bCs/>
                <w:color w:val="FFFFFF"/>
                <w:sz w:val="48"/>
                <w:szCs w:val="48"/>
              </w:rPr>
              <w:t xml:space="preserve">INTERVIEW PREPARATION GUIDE</w:t>
            </w:r>
          </w:p>
          <w:p>
            <w:pPr>
              <w:spacing w:before="0" w:after="80"/>
              <w:jc w:val="center"/>
            </w:pPr>
            <w:r>
              <w:rPr>
                <w:rFonts w:ascii="Arial" w:cs="Arial" w:eastAsia="Arial" w:hAnsi="Arial"/>
                <w:b/>
                <w:bCs/>
                <w:color w:val="FFFFFF"/>
                <w:sz w:val="40"/>
                <w:szCs w:val="40"/>
              </w:rPr>
              <w:t xml:space="preserve">Baodong Xing</w:t>
            </w:r>
          </w:p>
          <w:p>
            <w:pPr>
              <w:spacing w:before="0" w:after="80"/>
              <w:jc w:val="center"/>
            </w:pPr>
            <w:r>
              <w:rPr>
                <w:rFonts w:ascii="Arial" w:cs="Arial" w:eastAsia="Arial" w:hAnsi="Arial"/>
                <w:color w:val="DBEAFE"/>
                <w:sz w:val="28"/>
                <w:szCs w:val="28"/>
              </w:rPr>
              <w:t xml:space="preserve">Associate Director, Biostatistics</w:t>
            </w:r>
          </w:p>
          <w:p>
            <w:pPr>
              <w:spacing w:before="0" w:after="80"/>
              <w:jc w:val="center"/>
            </w:pPr>
            <w:r>
              <w:rPr>
                <w:rFonts w:ascii="Arial" w:cs="Arial" w:eastAsia="Arial" w:hAnsi="Arial"/>
                <w:color w:val="BFDBFE"/>
                <w:sz w:val="24"/>
                <w:szCs w:val="24"/>
              </w:rPr>
              <w:t xml:space="preserve">Apogee Therapeutics  |  Remote</w:t>
            </w:r>
          </w:p>
          <w:p>
            <w:pPr>
              <w:spacing w:before="240" w:after="0"/>
              <w:jc w:val="center"/>
            </w:pPr>
            <w:r>
              <w:rPr>
                <w:rFonts w:ascii="Arial" w:cs="Arial" w:eastAsia="Arial" w:hAnsi="Arial"/>
                <w:color w:val="BFDBFE"/>
                <w:sz w:val="20"/>
                <w:szCs w:val="20"/>
              </w:rPr>
              <w:t xml:space="preserve">Prepared by GQR Global Markets  |  March 2026</w:t>
            </w:r>
          </w:p>
        </w:tc>
      </w:tr>
    </w:tbl>
    <w:p>
      <w:pPr>
        <w:sectPr>
          <w:pgSz w:w="12240" w:h="15840" w:orient="portrait"/>
          <w:pgMar w:top="1440" w:right="1440" w:bottom="1440" w:left="1440" w:header="708" w:footer="708" w:gutter="0"/>
          <w:pgNumType/>
          <w:docGrid w:linePitch="360"/>
        </w:sectPr>
      </w:pPr>
    </w:p>
    <w:p>
      <w:pPr>
        <w:pStyle w:val="Heading1"/>
        <w:pBdr>
          <w:bottom w:val="single" w:color="2563EB" w:sz="6" w:space="6"/>
        </w:pBdr>
        <w:spacing w:before="360" w:after="120"/>
      </w:pPr>
      <w:r>
        <w:rPr>
          <w:rFonts w:ascii="Arial" w:cs="Arial" w:eastAsia="Arial" w:hAnsi="Arial"/>
          <w:b/>
          <w:bCs/>
          <w:color w:val="1B3A6B"/>
          <w:sz w:val="32"/>
          <w:szCs w:val="32"/>
        </w:rPr>
        <w:t xml:space="preserve">1. Role Overview &amp; Key Themes</w:t>
      </w:r>
    </w:p>
    <w:p>
      <w:pPr>
        <w:spacing w:before="0" w:after="40"/>
      </w:pPr>
      <w:r>
        <w:t xml:space="preserve"/>
      </w:r>
    </w:p>
    <w:p>
      <w:pPr>
        <w:spacing w:before="60" w:after="60"/>
      </w:pPr>
      <w:r>
        <w:rPr>
          <w:rFonts w:ascii="Arial" w:cs="Arial" w:eastAsia="Arial" w:hAnsi="Arial"/>
          <w:color w:val="1F2937"/>
          <w:sz w:val="20"/>
          <w:szCs w:val="20"/>
        </w:rPr>
        <w:t xml:space="preserve">Apogee Therapeutics is a well-funded, Nasdaq-listed clinical-stage biotech (founded 2022) advancing novel biologics in immunology and inflammation. Their lead program, zumilokibart (APG777), targets atopic dermatitis and asthma — two of the largest I&amp;I markets. With four validated targets and a rapidly scaling Phase 3 agenda, they need a senior statistician who can own the numbers from design through submission.</w:t>
      </w:r>
    </w:p>
    <w:p>
      <w:pPr>
        <w:spacing w:before="0" w:after="60"/>
      </w:pPr>
      <w:r>
        <w:t xml:space="preserve"/>
      </w:r>
    </w:p>
    <w:p>
      <w:pPr>
        <w:pStyle w:val="Heading2"/>
        <w:spacing w:before="240" w:after="100"/>
      </w:pPr>
      <w:r>
        <w:rPr>
          <w:rFonts w:ascii="Arial" w:cs="Arial" w:eastAsia="Arial" w:hAnsi="Arial"/>
          <w:b/>
          <w:bCs/>
          <w:color w:val="2563EB"/>
          <w:sz w:val="26"/>
          <w:szCs w:val="26"/>
        </w:rPr>
        <w:t xml:space="preserve">What This Role Is Really About</w:t>
      </w:r>
    </w:p>
    <w:p>
      <w:pPr>
        <w:pStyle w:val="ListParagraph"/>
        <w:numPr>
          <w:ilvl w:val="0"/>
          <w:numId w:val="2"/>
        </w:numPr>
        <w:spacing w:before="40" w:after="40"/>
      </w:pPr>
      <w:r>
        <w:rPr>
          <w:rFonts w:ascii="Arial" w:cs="Arial" w:eastAsia="Arial" w:hAnsi="Arial"/>
          <w:color w:val="1F2937"/>
          <w:sz w:val="20"/>
          <w:szCs w:val="20"/>
        </w:rPr>
        <w:t xml:space="preserve">Statistical ownership across one or more late-stage programs — SAP authorship, TFL oversight, regulatory submissions, and DMC support</w:t>
      </w:r>
    </w:p>
    <w:p>
      <w:pPr>
        <w:pStyle w:val="ListParagraph"/>
        <w:numPr>
          <w:ilvl w:val="0"/>
          <w:numId w:val="2"/>
        </w:numPr>
        <w:spacing w:before="40" w:after="40"/>
      </w:pPr>
      <w:r>
        <w:rPr>
          <w:rFonts w:ascii="Arial" w:cs="Arial" w:eastAsia="Arial" w:hAnsi="Arial"/>
          <w:color w:val="1F2937"/>
          <w:sz w:val="20"/>
          <w:szCs w:val="20"/>
        </w:rPr>
        <w:t xml:space="preserve">Cross-functional leadership — serving as the stat lead embedded with clinical, regulatory, and medical teams, not siloed in a biometrics silo</w:t>
      </w:r>
    </w:p>
    <w:p>
      <w:pPr>
        <w:pStyle w:val="ListParagraph"/>
        <w:numPr>
          <w:ilvl w:val="0"/>
          <w:numId w:val="2"/>
        </w:numPr>
        <w:spacing w:before="40" w:after="40"/>
      </w:pPr>
      <w:r>
        <w:rPr>
          <w:rFonts w:ascii="Arial" w:cs="Arial" w:eastAsia="Arial" w:hAnsi="Arial"/>
          <w:color w:val="1F2937"/>
          <w:sz w:val="20"/>
          <w:szCs w:val="20"/>
        </w:rPr>
        <w:t xml:space="preserve">CRO accountability — this is a lean internal team; vendor management and quality control are core expectations, not secondary duties</w:t>
      </w:r>
    </w:p>
    <w:p>
      <w:pPr>
        <w:pStyle w:val="ListParagraph"/>
        <w:numPr>
          <w:ilvl w:val="0"/>
          <w:numId w:val="2"/>
        </w:numPr>
        <w:spacing w:before="40" w:after="40"/>
      </w:pPr>
      <w:r>
        <w:rPr>
          <w:rFonts w:ascii="Arial" w:cs="Arial" w:eastAsia="Arial" w:hAnsi="Arial"/>
          <w:color w:val="1F2937"/>
          <w:sz w:val="20"/>
          <w:szCs w:val="20"/>
        </w:rPr>
        <w:t xml:space="preserve">Regulatory credibility — FDA/EMA interaction support, ICH compliance, estimands, and adaptive design expertise will be tested</w:t>
      </w:r>
    </w:p>
    <w:p>
      <w:pPr>
        <w:pStyle w:val="ListParagraph"/>
        <w:numPr>
          <w:ilvl w:val="0"/>
          <w:numId w:val="2"/>
        </w:numPr>
        <w:spacing w:before="40" w:after="40"/>
      </w:pPr>
      <w:r>
        <w:rPr>
          <w:rFonts w:ascii="Arial" w:cs="Arial" w:eastAsia="Arial" w:hAnsi="Arial"/>
          <w:color w:val="1F2937"/>
          <w:sz w:val="20"/>
          <w:szCs w:val="20"/>
        </w:rPr>
        <w:t xml:space="preserve">Speed in ambiguity — Apogee moves fast. They value people who figure it out without waiting for a playbook</w:t>
      </w:r>
    </w:p>
    <w:p>
      <w:pPr>
        <w:spacing w:before="0" w:after="60"/>
      </w:pPr>
      <w:r>
        <w:t xml:space="preserve"/>
      </w:r>
    </w:p>
    <w:p>
      <w:pPr>
        <w:pStyle w:val="Heading2"/>
        <w:spacing w:before="240" w:after="100"/>
      </w:pPr>
      <w:r>
        <w:rPr>
          <w:rFonts w:ascii="Arial" w:cs="Arial" w:eastAsia="Arial" w:hAnsi="Arial"/>
          <w:b/>
          <w:bCs/>
          <w:color w:val="2563EB"/>
          <w:sz w:val="26"/>
          <w:szCs w:val="26"/>
        </w:rPr>
        <w:t xml:space="preserve">Key Themes Across All Interview 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Theme</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Late-stage statistical leadership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They need someone who has run SAPs and CSRs for pivotal studies, not just supported them</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Immunology/biologics experience</w:t>
            </w:r>
          </w:p>
        </w:tc>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Their pipeline is I&amp;I — atopic dermatitis, asthma. Relevant therapeutic area fluency is a plus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Regulatory filing experience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BLA-track experience is preferred; FDA/EMA guidance knowledge will be probed</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CRO management</w:t>
            </w:r>
          </w:p>
        </w:tc>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Small team = heavy vendor reliance. They want evidence of holding CROs accountable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Communication with non-statisticians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Apogee C-suite and clinical leads are not statisticians — translating complexity is essential</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Cultural alignment (C.O.R.E.)</w:t>
            </w:r>
          </w:p>
        </w:tc>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Caring, Original, Resilient, Egoless — they take this seriously; weave it naturally into answers</w:t>
            </w:r>
          </w:p>
        </w:tc>
      </w:tr>
    </w:tbl>
    <w:p>
      <w:pPr>
        <w:spacing w:before="0" w:after="40"/>
      </w:pPr>
      <w:r>
        <w:t xml:space="preserve"/>
      </w:r>
    </w:p>
    <w:p>
      <w:r>
        <w:br w:type="page"/>
      </w:r>
    </w:p>
    <w:p>
      <w:pPr>
        <w:pStyle w:val="Heading1"/>
        <w:pBdr>
          <w:bottom w:val="single" w:color="2563EB" w:sz="6" w:space="6"/>
        </w:pBdr>
        <w:spacing w:before="360" w:after="120"/>
      </w:pPr>
      <w:r>
        <w:rPr>
          <w:rFonts w:ascii="Arial" w:cs="Arial" w:eastAsia="Arial" w:hAnsi="Arial"/>
          <w:b/>
          <w:bCs/>
          <w:color w:val="1B3A6B"/>
          <w:sz w:val="32"/>
          <w:szCs w:val="32"/>
        </w:rPr>
        <w:t xml:space="preserve">2. Candidate Fit Summary</w:t>
      </w:r>
    </w:p>
    <w:p>
      <w:pPr>
        <w:spacing w:before="0" w:after="40"/>
      </w:pPr>
      <w:r>
        <w:t xml:space="preserve"/>
      </w:r>
    </w:p>
    <w:p>
      <w:pPr>
        <w:spacing w:before="60" w:after="60"/>
      </w:pPr>
      <w:r>
        <w:rPr>
          <w:rFonts w:ascii="Arial" w:cs="Arial" w:eastAsia="Arial" w:hAnsi="Arial"/>
          <w:color w:val="1F2937"/>
          <w:sz w:val="20"/>
          <w:szCs w:val="20"/>
        </w:rPr>
        <w:t xml:space="preserve">Baodong, your background is an exceptionally strong match for this role. You have 15+ years of progressive biostatistics leadership across immunology, oncology, and CNS — and the Apogee role sits squarely in your wheelhouse. Here is how your experience maps to what they are looking for, and where to get ahead of potential questions.</w:t>
      </w:r>
    </w:p>
    <w:p>
      <w:pPr>
        <w:spacing w:before="0" w:after="80"/>
      </w:pPr>
      <w:r>
        <w:t xml:space="preserve"/>
      </w:r>
    </w:p>
    <w:p>
      <w:pPr>
        <w:pStyle w:val="Heading2"/>
        <w:spacing w:before="240" w:after="100"/>
      </w:pPr>
      <w:r>
        <w:rPr>
          <w:rFonts w:ascii="Arial" w:cs="Arial" w:eastAsia="Arial" w:hAnsi="Arial"/>
          <w:b/>
          <w:bCs/>
          <w:color w:val="2563EB"/>
          <w:sz w:val="26"/>
          <w:szCs w:val="26"/>
        </w:rPr>
        <w:t xml:space="preserve">Strengths to Lead With</w:t>
      </w:r>
    </w:p>
    <w:p>
      <w:pPr>
        <w:spacing w:before="180" w:after="80"/>
      </w:pPr>
      <w:r>
        <w:rPr>
          <w:rFonts w:ascii="Arial" w:cs="Arial" w:eastAsia="Arial" w:hAnsi="Arial"/>
          <w:b/>
          <w:bCs/>
          <w:color w:val="1B3A6B"/>
          <w:sz w:val="22"/>
          <w:szCs w:val="22"/>
        </w:rPr>
        <w:t xml:space="preserve">Immunology &amp; Autoimmune Depth</w:t>
      </w:r>
    </w:p>
    <w:p>
      <w:pPr>
        <w:pStyle w:val="ListParagraph"/>
        <w:numPr>
          <w:ilvl w:val="0"/>
          <w:numId w:val="2"/>
        </w:numPr>
        <w:spacing w:before="40" w:after="40"/>
      </w:pPr>
      <w:r>
        <w:rPr>
          <w:rFonts w:ascii="Arial" w:cs="Arial" w:eastAsia="Arial" w:hAnsi="Arial"/>
          <w:color w:val="1F2937"/>
          <w:sz w:val="20"/>
          <w:szCs w:val="20"/>
        </w:rPr>
        <w:t xml:space="preserve">At Kyverna, you led statistical strategy across generalized myasthenia gravis and Stiff Person Syndrome — rare, complex autoimmune diseases requiring sophisticated study design and regulatory precision</w:t>
      </w:r>
    </w:p>
    <w:p>
      <w:pPr>
        <w:pStyle w:val="ListParagraph"/>
        <w:numPr>
          <w:ilvl w:val="0"/>
          <w:numId w:val="2"/>
        </w:numPr>
        <w:spacing w:before="40" w:after="40"/>
      </w:pPr>
      <w:r>
        <w:rPr>
          <w:rFonts w:ascii="Arial" w:cs="Arial" w:eastAsia="Arial" w:hAnsi="Arial"/>
          <w:color w:val="1F2937"/>
          <w:sz w:val="20"/>
          <w:szCs w:val="20"/>
        </w:rPr>
        <w:t xml:space="preserve">At Atara, you directed late-stage immunology programs including PTLD, MS, and EBV-associated diseases through SAP development and BLA submission preparation over 5.5 years</w:t>
      </w:r>
    </w:p>
    <w:p>
      <w:pPr>
        <w:pStyle w:val="ListParagraph"/>
        <w:numPr>
          <w:ilvl w:val="0"/>
          <w:numId w:val="2"/>
        </w:numPr>
        <w:spacing w:before="40" w:after="40"/>
      </w:pPr>
      <w:r>
        <w:rPr>
          <w:rFonts w:ascii="Arial" w:cs="Arial" w:eastAsia="Arial" w:hAnsi="Arial"/>
          <w:color w:val="1F2937"/>
          <w:sz w:val="20"/>
          <w:szCs w:val="20"/>
        </w:rPr>
        <w:t xml:space="preserve">This therapeutic area depth is directly relevant to Apogee's AD and asthma pipeline</w:t>
      </w:r>
    </w:p>
    <w:p>
      <w:pPr>
        <w:spacing w:before="0" w:after="60"/>
      </w:pPr>
      <w:r>
        <w:t xml:space="preserve"/>
      </w:r>
    </w:p>
    <w:p>
      <w:pPr>
        <w:spacing w:before="180" w:after="80"/>
      </w:pPr>
      <w:r>
        <w:rPr>
          <w:rFonts w:ascii="Arial" w:cs="Arial" w:eastAsia="Arial" w:hAnsi="Arial"/>
          <w:b/>
          <w:bCs/>
          <w:color w:val="1B3A6B"/>
          <w:sz w:val="22"/>
          <w:szCs w:val="22"/>
        </w:rPr>
        <w:t xml:space="preserve">BLA-Track &amp; Regulatory Submission Experience</w:t>
      </w:r>
    </w:p>
    <w:p>
      <w:pPr>
        <w:pStyle w:val="ListParagraph"/>
        <w:numPr>
          <w:ilvl w:val="0"/>
          <w:numId w:val="2"/>
        </w:numPr>
        <w:spacing w:before="40" w:after="40"/>
      </w:pPr>
      <w:r>
        <w:rPr>
          <w:rFonts w:ascii="Arial" w:cs="Arial" w:eastAsia="Arial" w:hAnsi="Arial"/>
          <w:color w:val="1F2937"/>
          <w:sz w:val="20"/>
          <w:szCs w:val="20"/>
        </w:rPr>
        <w:t xml:space="preserve">You have hands-on experience preparing pivotal study CSRs and integrated analyses on a BLA timeline at Kyverna — this is exactly the submission experience Apogee is seeking</w:t>
      </w:r>
    </w:p>
    <w:p>
      <w:pPr>
        <w:pStyle w:val="ListParagraph"/>
        <w:numPr>
          <w:ilvl w:val="0"/>
          <w:numId w:val="2"/>
        </w:numPr>
        <w:spacing w:before="40" w:after="40"/>
      </w:pPr>
      <w:r>
        <w:rPr>
          <w:rFonts w:ascii="Arial" w:cs="Arial" w:eastAsia="Arial" w:hAnsi="Arial"/>
          <w:color w:val="1F2937"/>
          <w:sz w:val="20"/>
          <w:szCs w:val="20"/>
        </w:rPr>
        <w:t xml:space="preserve">Your Atara tenure included BLA submission preparation, giving you two data points of late-stage regulatory work</w:t>
      </w:r>
    </w:p>
    <w:p>
      <w:pPr>
        <w:pStyle w:val="ListParagraph"/>
        <w:numPr>
          <w:ilvl w:val="0"/>
          <w:numId w:val="2"/>
        </w:numPr>
        <w:spacing w:before="40" w:after="40"/>
      </w:pPr>
      <w:r>
        <w:rPr>
          <w:rFonts w:ascii="Arial" w:cs="Arial" w:eastAsia="Arial" w:hAnsi="Arial"/>
          <w:color w:val="1F2937"/>
          <w:sz w:val="20"/>
          <w:szCs w:val="20"/>
        </w:rPr>
        <w:t xml:space="preserve">AbbVie Venetoclax experience added FDA filing exposure across CLL, NHL, and AML pivotal programs</w:t>
      </w:r>
    </w:p>
    <w:p>
      <w:pPr>
        <w:spacing w:before="0" w:after="60"/>
      </w:pPr>
      <w:r>
        <w:t xml:space="preserve"/>
      </w:r>
    </w:p>
    <w:p>
      <w:pPr>
        <w:spacing w:before="180" w:after="80"/>
      </w:pPr>
      <w:r>
        <w:rPr>
          <w:rFonts w:ascii="Arial" w:cs="Arial" w:eastAsia="Arial" w:hAnsi="Arial"/>
          <w:b/>
          <w:bCs/>
          <w:color w:val="1B3A6B"/>
          <w:sz w:val="22"/>
          <w:szCs w:val="22"/>
        </w:rPr>
        <w:t xml:space="preserve">Statistical Methodology Breadth</w:t>
      </w:r>
    </w:p>
    <w:p>
      <w:pPr>
        <w:pStyle w:val="ListParagraph"/>
        <w:numPr>
          <w:ilvl w:val="0"/>
          <w:numId w:val="2"/>
        </w:numPr>
        <w:spacing w:before="40" w:after="40"/>
      </w:pPr>
      <w:r>
        <w:rPr>
          <w:rFonts w:ascii="Arial" w:cs="Arial" w:eastAsia="Arial" w:hAnsi="Arial"/>
          <w:color w:val="1F2937"/>
          <w:sz w:val="20"/>
          <w:szCs w:val="20"/>
        </w:rPr>
        <w:t xml:space="preserve">Your career spans adaptive designs, estimands, missing data imputation, and multiplicity — all flagged in the JD as advanced requirements</w:t>
      </w:r>
    </w:p>
    <w:p>
      <w:pPr>
        <w:pStyle w:val="ListParagraph"/>
        <w:numPr>
          <w:ilvl w:val="0"/>
          <w:numId w:val="2"/>
        </w:numPr>
        <w:spacing w:before="40" w:after="40"/>
      </w:pPr>
      <w:r>
        <w:rPr>
          <w:rFonts w:ascii="Arial" w:cs="Arial" w:eastAsia="Arial" w:hAnsi="Arial"/>
          <w:color w:val="1F2937"/>
          <w:sz w:val="20"/>
          <w:szCs w:val="20"/>
        </w:rPr>
        <w:t xml:space="preserve">Your Takeda safety statistics background adds rare disease and neuroscience credibility</w:t>
      </w:r>
    </w:p>
    <w:p>
      <w:pPr>
        <w:spacing w:before="0" w:after="60"/>
      </w:pPr>
      <w:r>
        <w:t xml:space="preserve"/>
      </w:r>
    </w:p>
    <w:p>
      <w:pPr>
        <w:spacing w:before="180" w:after="80"/>
      </w:pPr>
      <w:r>
        <w:rPr>
          <w:rFonts w:ascii="Arial" w:cs="Arial" w:eastAsia="Arial" w:hAnsi="Arial"/>
          <w:b/>
          <w:bCs/>
          <w:color w:val="1B3A6B"/>
          <w:sz w:val="22"/>
          <w:szCs w:val="22"/>
        </w:rPr>
        <w:t xml:space="preserve">Team Leadership &amp; CRO Management</w:t>
      </w:r>
    </w:p>
    <w:p>
      <w:pPr>
        <w:pStyle w:val="ListParagraph"/>
        <w:numPr>
          <w:ilvl w:val="0"/>
          <w:numId w:val="2"/>
        </w:numPr>
        <w:spacing w:before="40" w:after="40"/>
      </w:pPr>
      <w:r>
        <w:rPr>
          <w:rFonts w:ascii="Arial" w:cs="Arial" w:eastAsia="Arial" w:hAnsi="Arial"/>
          <w:color w:val="1F2937"/>
          <w:sz w:val="20"/>
          <w:szCs w:val="20"/>
        </w:rPr>
        <w:t xml:space="preserve">You have been promoted from Senior Manager to Associate Director at Atara and held Director-level scope at Kyverna — both signal genuine leadership progression, not just IC advancement</w:t>
      </w:r>
    </w:p>
    <w:p>
      <w:pPr>
        <w:pStyle w:val="ListParagraph"/>
        <w:numPr>
          <w:ilvl w:val="0"/>
          <w:numId w:val="2"/>
        </w:numPr>
        <w:spacing w:before="40" w:after="40"/>
      </w:pPr>
      <w:r>
        <w:rPr>
          <w:rFonts w:ascii="Arial" w:cs="Arial" w:eastAsia="Arial" w:hAnsi="Arial"/>
          <w:color w:val="1F2937"/>
          <w:sz w:val="20"/>
          <w:szCs w:val="20"/>
        </w:rPr>
        <w:t xml:space="preserve">Managing BLA-track deliverables at Kyverna required coordinating CRO teams under tight timelines — be ready to tell that story in detail</w:t>
      </w:r>
    </w:p>
    <w:p>
      <w:pPr>
        <w:spacing w:before="0" w:after="60"/>
      </w:pPr>
      <w:r>
        <w:t xml:space="preserve"/>
      </w:r>
    </w:p>
    <w:p>
      <w:pPr>
        <w:pStyle w:val="Heading2"/>
        <w:spacing w:before="240" w:after="100"/>
      </w:pPr>
      <w:r>
        <w:rPr>
          <w:rFonts w:ascii="Arial" w:cs="Arial" w:eastAsia="Arial" w:hAnsi="Arial"/>
          <w:b/>
          <w:bCs/>
          <w:color w:val="2563EB"/>
          <w:sz w:val="26"/>
          <w:szCs w:val="26"/>
        </w:rPr>
        <w:t xml:space="preserve">Potential Gaps — And How to Get Ahead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60" w:after="80"/>
            </w:pPr>
            <w:r>
              <w:rPr>
                <w:rFonts w:ascii="Arial" w:cs="Arial" w:eastAsia="Arial" w:hAnsi="Arial"/>
                <w:b/>
                <w:bCs/>
                <w:color w:val="1B3A6B"/>
                <w:sz w:val="22"/>
                <w:szCs w:val="22"/>
              </w:rPr>
              <w:t xml:space="preserve">Gap 1: Title Misalignment</w:t>
            </w:r>
          </w:p>
          <w:p>
            <w:pPr>
              <w:pStyle w:val="ListParagraph"/>
              <w:numPr>
                <w:ilvl w:val="0"/>
                <w:numId w:val="2"/>
              </w:numPr>
              <w:spacing w:before="40" w:after="40"/>
            </w:pPr>
            <w:r>
              <w:rPr>
                <w:rFonts w:ascii="Arial" w:cs="Arial" w:eastAsia="Arial" w:hAnsi="Arial"/>
                <w:color w:val="1F2937"/>
                <w:sz w:val="20"/>
                <w:szCs w:val="20"/>
              </w:rPr>
              <w:t xml:space="preserve">The role is Associate Director. Your most recent title is Director. Apogee may probe whether this is a step backward for you.</w:t>
            </w:r>
          </w:p>
          <w:p>
            <w:pPr>
              <w:pStyle w:val="ListParagraph"/>
              <w:numPr>
                <w:ilvl w:val="0"/>
                <w:numId w:val="2"/>
              </w:numPr>
              <w:spacing w:before="40" w:after="40"/>
            </w:pPr>
            <w:r>
              <w:rPr>
                <w:rFonts w:ascii="Arial" w:cs="Arial" w:eastAsia="Arial" w:hAnsi="Arial"/>
                <w:color w:val="1F2937"/>
                <w:sz w:val="20"/>
                <w:szCs w:val="20"/>
              </w:rPr>
              <w:t xml:space="preserve">How to handle it: Frame it as a deliberate move into an organization where you can build something significant from the ground up, rather than inheriting a mature function. Emphasize that title matters less than the scope of impact. You left Kyverna due to a restructuring, not a performance issue — own that clearly and briefly.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60" w:after="80"/>
            </w:pPr>
            <w:r>
              <w:rPr>
                <w:rFonts w:ascii="Arial" w:cs="Arial" w:eastAsia="Arial" w:hAnsi="Arial"/>
                <w:b/>
                <w:bCs/>
                <w:color w:val="1B3A6B"/>
                <w:sz w:val="22"/>
                <w:szCs w:val="22"/>
              </w:rPr>
              <w:t xml:space="preserve">Gap 2: No Direct Atopic Dermatitis Experience</w:t>
            </w:r>
          </w:p>
          <w:p>
            <w:pPr>
              <w:pStyle w:val="ListParagraph"/>
              <w:numPr>
                <w:ilvl w:val="0"/>
                <w:numId w:val="2"/>
              </w:numPr>
              <w:spacing w:before="40" w:after="40"/>
            </w:pPr>
            <w:r>
              <w:rPr>
                <w:rFonts w:ascii="Arial" w:cs="Arial" w:eastAsia="Arial" w:hAnsi="Arial"/>
                <w:color w:val="1F2937"/>
                <w:sz w:val="20"/>
                <w:szCs w:val="20"/>
              </w:rPr>
              <w:t xml:space="preserve">Apogee's lead program is in AD. You have broad I&amp;I experience but no explicit AD program on your CV.</w:t>
            </w:r>
          </w:p>
          <w:p>
            <w:pPr>
              <w:pStyle w:val="ListParagraph"/>
              <w:numPr>
                <w:ilvl w:val="0"/>
                <w:numId w:val="2"/>
              </w:numPr>
              <w:spacing w:before="40" w:after="40"/>
            </w:pPr>
            <w:r>
              <w:rPr>
                <w:rFonts w:ascii="Arial" w:cs="Arial" w:eastAsia="Arial" w:hAnsi="Arial"/>
                <w:color w:val="1F2937"/>
                <w:sz w:val="20"/>
                <w:szCs w:val="20"/>
              </w:rPr>
              <w:t xml:space="preserve">How to handle it: Your immunology mechanistic knowledge and regulatory experience across multiple I&amp;I programs is directly transferable. The statistical methods in AD biologics trials (mixed models, responder analyses, multiplicity) are consistent with what you have executed. Acknowledge the specific indication, but pivot quickly to the methodological overlap.</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pPr>
              <w:spacing w:before="60" w:after="80"/>
            </w:pPr>
            <w:r>
              <w:rPr>
                <w:rFonts w:ascii="Arial" w:cs="Arial" w:eastAsia="Arial" w:hAnsi="Arial"/>
                <w:b/>
                <w:bCs/>
                <w:color w:val="1B3A6B"/>
                <w:sz w:val="22"/>
                <w:szCs w:val="22"/>
              </w:rPr>
              <w:t xml:space="preserve">Gap 3: Salary Positioning</w:t>
            </w:r>
          </w:p>
          <w:p>
            <w:pPr>
              <w:pStyle w:val="ListParagraph"/>
              <w:numPr>
                <w:ilvl w:val="0"/>
                <w:numId w:val="2"/>
              </w:numPr>
              <w:spacing w:before="40" w:after="40"/>
            </w:pPr>
            <w:r>
              <w:rPr>
                <w:rFonts w:ascii="Arial" w:cs="Arial" w:eastAsia="Arial" w:hAnsi="Arial"/>
                <w:color w:val="1F2937"/>
                <w:sz w:val="20"/>
                <w:szCs w:val="20"/>
              </w:rPr>
              <w:t xml:space="preserve">You are targeting $215K-$225K base. The posted range tops out at $215K. There may be limited flexibility at the AD level.</w:t>
            </w:r>
          </w:p>
          <w:p>
            <w:pPr>
              <w:pStyle w:val="ListParagraph"/>
              <w:numPr>
                <w:ilvl w:val="0"/>
                <w:numId w:val="2"/>
              </w:numPr>
              <w:spacing w:before="40" w:after="40"/>
            </w:pPr>
            <w:r>
              <w:rPr>
                <w:rFonts w:ascii="Arial" w:cs="Arial" w:eastAsia="Arial" w:hAnsi="Arial"/>
                <w:color w:val="1F2937"/>
                <w:sz w:val="20"/>
                <w:szCs w:val="20"/>
              </w:rPr>
              <w:t xml:space="preserve">How to handle it: If compensation comes up in the HR screen, express genuine enthusiasm for the opportunity and the quality of Apogee's pipeline and team. State that you are confident the full package — base, bonus, and equity — can work, and that you prefer to evaluate the total picture. Avoid quoting hard numbers in early rounds.</w:t>
            </w:r>
          </w:p>
        </w:tc>
      </w:tr>
    </w:tbl>
    <w:p>
      <w:pPr>
        <w:spacing w:before="0" w:after="40"/>
      </w:pPr>
      <w:r>
        <w:t xml:space="preserve"/>
      </w:r>
    </w:p>
    <w:p>
      <w:r>
        <w:br w:type="page"/>
      </w:r>
    </w:p>
    <w:p>
      <w:pPr>
        <w:pStyle w:val="Heading1"/>
        <w:pBdr>
          <w:bottom w:val="single" w:color="2563EB" w:sz="6" w:space="6"/>
        </w:pBdr>
        <w:spacing w:before="360" w:after="120"/>
      </w:pPr>
      <w:r>
        <w:rPr>
          <w:rFonts w:ascii="Arial" w:cs="Arial" w:eastAsia="Arial" w:hAnsi="Arial"/>
          <w:b/>
          <w:bCs/>
          <w:color w:val="1B3A6B"/>
          <w:sz w:val="32"/>
          <w:szCs w:val="32"/>
        </w:rPr>
        <w:t xml:space="preserve">3. HR Screening Prep</w:t>
      </w:r>
    </w:p>
    <w:p>
      <w:pPr>
        <w:spacing w:before="0" w:after="40"/>
      </w:pPr>
      <w:r>
        <w:t xml:space="preserve"/>
      </w:r>
    </w:p>
    <w:p>
      <w:pPr>
        <w:spacing w:before="60" w:after="60"/>
      </w:pPr>
      <w:r>
        <w:rPr>
          <w:rFonts w:ascii="Arial" w:cs="Arial" w:eastAsia="Arial" w:hAnsi="Arial"/>
          <w:color w:val="1F2937"/>
          <w:sz w:val="20"/>
          <w:szCs w:val="20"/>
        </w:rPr>
        <w:t xml:space="preserve">The HR screen is typically 20-30 minutes with a Talent Acquisition partner or HR Business Partner. The goal is to confirm you are a serious, qualified candidate, check motivations, and surface any red flags before the hiring manager invests time. Here is how to start strong.</w:t>
      </w:r>
    </w:p>
    <w:p>
      <w:pPr>
        <w:spacing w:before="0" w:after="80"/>
      </w:pPr>
      <w:r>
        <w:t xml:space="preserve"/>
      </w:r>
    </w:p>
    <w:p>
      <w:pPr>
        <w:pStyle w:val="Heading2"/>
        <w:spacing w:before="240" w:after="100"/>
      </w:pPr>
      <w:r>
        <w:rPr>
          <w:rFonts w:ascii="Arial" w:cs="Arial" w:eastAsia="Arial" w:hAnsi="Arial"/>
          <w:b/>
          <w:bCs/>
          <w:color w:val="2563EB"/>
          <w:sz w:val="26"/>
          <w:szCs w:val="26"/>
        </w:rPr>
        <w:t xml:space="preserve">Questions to Expect — And How to Answer Them</w:t>
      </w:r>
    </w:p>
    <w:p>
      <w:pPr>
        <w:spacing w:before="180" w:after="80"/>
      </w:pPr>
      <w:r>
        <w:rPr>
          <w:rFonts w:ascii="Arial" w:cs="Arial" w:eastAsia="Arial" w:hAnsi="Arial"/>
          <w:b/>
          <w:bCs/>
          <w:color w:val="1B3A6B"/>
          <w:sz w:val="22"/>
          <w:szCs w:val="22"/>
        </w:rPr>
        <w:t xml:space="preserve">"Tell me about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60" w:after="80"/>
            </w:pPr>
            <w:r>
              <w:rPr>
                <w:rFonts w:ascii="Arial" w:cs="Arial" w:eastAsia="Arial" w:hAnsi="Arial"/>
                <w:b/>
                <w:bCs/>
                <w:color w:val="1B3A6B"/>
                <w:sz w:val="22"/>
                <w:szCs w:val="22"/>
              </w:rPr>
              <w:t xml:space="preserve">Recommended Framing</w:t>
            </w:r>
          </w:p>
          <w:p>
            <w:pPr>
              <w:pStyle w:val="ListParagraph"/>
              <w:numPr>
                <w:ilvl w:val="0"/>
                <w:numId w:val="2"/>
              </w:numPr>
              <w:spacing w:before="40" w:after="40"/>
            </w:pPr>
            <w:r>
              <w:rPr>
                <w:rFonts w:ascii="Arial" w:cs="Arial" w:eastAsia="Arial" w:hAnsi="Arial"/>
                <w:color w:val="1F2937"/>
                <w:sz w:val="20"/>
                <w:szCs w:val="20"/>
              </w:rPr>
              <w:t xml:space="preserve">Lead with your statistical expertise and where you sit in the drug development process, not your job history. Something like: I have spent 15 years building statistical programs for late-stage clinical trials, with a focus on immunology and autoimmune disease. Most recently at Kyverna, I was the statistical lead for multiple autoimmune programs on a BLA timeline. Before that, I spent 5.5 years at Atara directing late-stage immunology programs through SAP development and regulatory submission. I am drawn to Apogee because of the quality of the science and the opportunity to be part of building a world-class biometrics function at a company with a clear path to pivotal readouts.</w:t>
            </w:r>
          </w:p>
        </w:tc>
      </w:tr>
    </w:tbl>
    <w:p>
      <w:pPr>
        <w:spacing w:before="0" w:after="60"/>
      </w:pPr>
      <w:r>
        <w:t xml:space="preserve"/>
      </w:r>
    </w:p>
    <w:p>
      <w:pPr>
        <w:spacing w:before="180" w:after="80"/>
      </w:pPr>
      <w:r>
        <w:rPr>
          <w:rFonts w:ascii="Arial" w:cs="Arial" w:eastAsia="Arial" w:hAnsi="Arial"/>
          <w:b/>
          <w:bCs/>
          <w:color w:val="1B3A6B"/>
          <w:sz w:val="22"/>
          <w:szCs w:val="22"/>
        </w:rPr>
        <w:t xml:space="preserve">"Why are you leaving your current role?"</w:t>
      </w:r>
    </w:p>
    <w:p>
      <w:pPr>
        <w:pStyle w:val="ListParagraph"/>
        <w:numPr>
          <w:ilvl w:val="0"/>
          <w:numId w:val="2"/>
        </w:numPr>
        <w:spacing w:before="40" w:after="40"/>
      </w:pPr>
      <w:r>
        <w:rPr>
          <w:rFonts w:ascii="Arial" w:cs="Arial" w:eastAsia="Arial" w:hAnsi="Arial"/>
          <w:color w:val="1F2937"/>
          <w:sz w:val="20"/>
          <w:szCs w:val="20"/>
        </w:rPr>
        <w:t xml:space="preserve">Be direct: Kyverna made the decision to restructure their biometrics team in February 2026. It was a company-wide reduction, not performance-related. I have been deliberate about identifying the right next opportunity, and Apogee's pipeline and stage of growth stood out immediately.</w:t>
      </w:r>
    </w:p>
    <w:p>
      <w:pPr>
        <w:pStyle w:val="ListParagraph"/>
        <w:numPr>
          <w:ilvl w:val="0"/>
          <w:numId w:val="2"/>
        </w:numPr>
        <w:spacing w:before="40" w:after="40"/>
      </w:pPr>
      <w:r>
        <w:rPr>
          <w:rFonts w:ascii="Arial" w:cs="Arial" w:eastAsia="Arial" w:hAnsi="Arial"/>
          <w:color w:val="1F2937"/>
          <w:sz w:val="20"/>
          <w:szCs w:val="20"/>
        </w:rPr>
        <w:t xml:space="preserve">Do not over-explain, apologize, or speak negatively about Kyverna</w:t>
      </w:r>
    </w:p>
    <w:p>
      <w:pPr>
        <w:spacing w:before="0" w:after="60"/>
      </w:pPr>
      <w:r>
        <w:t xml:space="preserve"/>
      </w:r>
    </w:p>
    <w:p>
      <w:pPr>
        <w:spacing w:before="180" w:after="80"/>
      </w:pPr>
      <w:r>
        <w:rPr>
          <w:rFonts w:ascii="Arial" w:cs="Arial" w:eastAsia="Arial" w:hAnsi="Arial"/>
          <w:b/>
          <w:bCs/>
          <w:color w:val="1B3A6B"/>
          <w:sz w:val="22"/>
          <w:szCs w:val="22"/>
        </w:rPr>
        <w:t xml:space="preserve">"What are your salary expectations?"</w:t>
      </w:r>
    </w:p>
    <w:p>
      <w:pPr>
        <w:pStyle w:val="ListParagraph"/>
        <w:numPr>
          <w:ilvl w:val="0"/>
          <w:numId w:val="2"/>
        </w:numPr>
        <w:spacing w:before="40" w:after="40"/>
      </w:pPr>
      <w:r>
        <w:rPr>
          <w:rFonts w:ascii="Arial" w:cs="Arial" w:eastAsia="Arial" w:hAnsi="Arial"/>
          <w:color w:val="1F2937"/>
          <w:sz w:val="20"/>
          <w:szCs w:val="20"/>
        </w:rPr>
        <w:t xml:space="preserve">Suggested answer: I am most focused on finding the right fit in terms of scope and stage of company. I have been working with GQR and I know the posted range. I am confident that once we get into the details of the full package, we can find something that works for both sides. I would rather evaluate the total picture.</w:t>
      </w:r>
    </w:p>
    <w:p>
      <w:pPr>
        <w:pStyle w:val="ListParagraph"/>
        <w:numPr>
          <w:ilvl w:val="0"/>
          <w:numId w:val="2"/>
        </w:numPr>
        <w:spacing w:before="40" w:after="40"/>
      </w:pPr>
      <w:r>
        <w:rPr>
          <w:rFonts w:ascii="Arial" w:cs="Arial" w:eastAsia="Arial" w:hAnsi="Arial"/>
          <w:color w:val="1F2937"/>
          <w:sz w:val="20"/>
          <w:szCs w:val="20"/>
        </w:rPr>
        <w:t xml:space="preserve">Do not volunteer a specific number in the first call</w:t>
      </w:r>
    </w:p>
    <w:p>
      <w:pPr>
        <w:spacing w:before="0" w:after="60"/>
      </w:pPr>
      <w:r>
        <w:t xml:space="preserve"/>
      </w:r>
    </w:p>
    <w:p>
      <w:pPr>
        <w:spacing w:before="180" w:after="80"/>
      </w:pPr>
      <w:r>
        <w:rPr>
          <w:rFonts w:ascii="Arial" w:cs="Arial" w:eastAsia="Arial" w:hAnsi="Arial"/>
          <w:b/>
          <w:bCs/>
          <w:color w:val="1B3A6B"/>
          <w:sz w:val="22"/>
          <w:szCs w:val="22"/>
        </w:rPr>
        <w:t xml:space="preserve">"What is your timeline / availability?"</w:t>
      </w:r>
    </w:p>
    <w:p>
      <w:pPr>
        <w:pStyle w:val="ListParagraph"/>
        <w:numPr>
          <w:ilvl w:val="0"/>
          <w:numId w:val="2"/>
        </w:numPr>
        <w:spacing w:before="40" w:after="40"/>
      </w:pPr>
      <w:r>
        <w:rPr>
          <w:rFonts w:ascii="Arial" w:cs="Arial" w:eastAsia="Arial" w:hAnsi="Arial"/>
          <w:color w:val="1F2937"/>
          <w:sz w:val="20"/>
          <w:szCs w:val="20"/>
        </w:rPr>
        <w:t xml:space="preserve">Be honest about your availability. If you are actively interviewing elsewhere, you can say so without naming companies — it creates positive urgency.</w:t>
      </w:r>
    </w:p>
    <w:p>
      <w:pPr>
        <w:spacing w:before="0" w:after="60"/>
      </w:pPr>
      <w:r>
        <w:t xml:space="preserve"/>
      </w:r>
    </w:p>
    <w:p>
      <w:pPr>
        <w:spacing w:before="180" w:after="80"/>
      </w:pPr>
      <w:r>
        <w:rPr>
          <w:rFonts w:ascii="Arial" w:cs="Arial" w:eastAsia="Arial" w:hAnsi="Arial"/>
          <w:b/>
          <w:bCs/>
          <w:color w:val="1B3A6B"/>
          <w:sz w:val="22"/>
          <w:szCs w:val="22"/>
        </w:rPr>
        <w:t xml:space="preserve">"Have you worked in a remote environment?"</w:t>
      </w:r>
    </w:p>
    <w:p>
      <w:pPr>
        <w:pStyle w:val="ListParagraph"/>
        <w:numPr>
          <w:ilvl w:val="0"/>
          <w:numId w:val="2"/>
        </w:numPr>
        <w:spacing w:before="40" w:after="40"/>
      </w:pPr>
      <w:r>
        <w:rPr>
          <w:rFonts w:ascii="Arial" w:cs="Arial" w:eastAsia="Arial" w:hAnsi="Arial"/>
          <w:color w:val="1F2937"/>
          <w:sz w:val="20"/>
          <w:szCs w:val="20"/>
        </w:rPr>
        <w:t xml:space="preserve">Yes — explicitly required, and you have experience. Flag it and briefly describe your approach to staying connected with cross-functional teams remotely.</w:t>
      </w:r>
    </w:p>
    <w:p>
      <w:pPr>
        <w:spacing w:before="0" w:after="60"/>
      </w:pPr>
      <w:r>
        <w:t xml:space="preserve"/>
      </w:r>
    </w:p>
    <w:p>
      <w:pPr>
        <w:pStyle w:val="Heading2"/>
        <w:spacing w:before="240" w:after="100"/>
      </w:pPr>
      <w:r>
        <w:rPr>
          <w:rFonts w:ascii="Arial" w:cs="Arial" w:eastAsia="Arial" w:hAnsi="Arial"/>
          <w:b/>
          <w:bCs/>
          <w:color w:val="2563EB"/>
          <w:sz w:val="26"/>
          <w:szCs w:val="26"/>
        </w:rPr>
        <w:t xml:space="preserve">Framing Tips for the First Call</w:t>
      </w:r>
    </w:p>
    <w:p>
      <w:pPr>
        <w:pStyle w:val="ListParagraph"/>
        <w:numPr>
          <w:ilvl w:val="0"/>
          <w:numId w:val="2"/>
        </w:numPr>
        <w:spacing w:before="40" w:after="40"/>
      </w:pPr>
      <w:r>
        <w:rPr>
          <w:rFonts w:ascii="Arial" w:cs="Arial" w:eastAsia="Arial" w:hAnsi="Arial"/>
          <w:color w:val="1F2937"/>
          <w:sz w:val="20"/>
          <w:szCs w:val="20"/>
        </w:rPr>
        <w:t xml:space="preserve">Open with energy and specificity — interviewers remember candidates who demonstrate they have done their homework on the company</w:t>
      </w:r>
    </w:p>
    <w:p>
      <w:pPr>
        <w:pStyle w:val="ListParagraph"/>
        <w:numPr>
          <w:ilvl w:val="0"/>
          <w:numId w:val="2"/>
        </w:numPr>
        <w:spacing w:before="40" w:after="40"/>
      </w:pPr>
      <w:r>
        <w:rPr>
          <w:rFonts w:ascii="Arial" w:cs="Arial" w:eastAsia="Arial" w:hAnsi="Arial"/>
          <w:color w:val="1F2937"/>
          <w:sz w:val="20"/>
          <w:szCs w:val="20"/>
        </w:rPr>
        <w:t xml:space="preserve">Name the pipeline: Reference APG777, atopic dermatitis, and the Phase 3 horizon. It signals you are already thinking like an insider.</w:t>
      </w:r>
    </w:p>
    <w:p>
      <w:pPr>
        <w:pStyle w:val="ListParagraph"/>
        <w:numPr>
          <w:ilvl w:val="0"/>
          <w:numId w:val="2"/>
        </w:numPr>
        <w:spacing w:before="40" w:after="40"/>
      </w:pPr>
      <w:r>
        <w:rPr>
          <w:rFonts w:ascii="Arial" w:cs="Arial" w:eastAsia="Arial" w:hAnsi="Arial"/>
          <w:color w:val="1F2937"/>
          <w:sz w:val="20"/>
          <w:szCs w:val="20"/>
        </w:rPr>
        <w:t xml:space="preserve">Keep answers crisp — the HR screen is a conversation, not a presentation. Two to three sentences per answer, then ask if they want more detail.</w:t>
      </w:r>
    </w:p>
    <w:p>
      <w:pPr>
        <w:pStyle w:val="ListParagraph"/>
        <w:numPr>
          <w:ilvl w:val="0"/>
          <w:numId w:val="2"/>
        </w:numPr>
        <w:spacing w:before="40" w:after="40"/>
      </w:pPr>
      <w:r>
        <w:rPr>
          <w:rFonts w:ascii="Arial" w:cs="Arial" w:eastAsia="Arial" w:hAnsi="Arial"/>
          <w:color w:val="1F2937"/>
          <w:sz w:val="20"/>
          <w:szCs w:val="20"/>
        </w:rPr>
        <w:t xml:space="preserve">Close by asking about next steps — it signals confidence and interest</w:t>
      </w:r>
    </w:p>
    <w:p>
      <w:pPr>
        <w:spacing w:before="0" w:after="40"/>
      </w:pPr>
      <w:r>
        <w:t xml:space="preserve"/>
      </w:r>
    </w:p>
    <w:p>
      <w:r>
        <w:br w:type="page"/>
      </w:r>
    </w:p>
    <w:p>
      <w:pPr>
        <w:pStyle w:val="Heading1"/>
        <w:pBdr>
          <w:bottom w:val="single" w:color="2563EB" w:sz="6" w:space="6"/>
        </w:pBdr>
        <w:spacing w:before="360" w:after="120"/>
      </w:pPr>
      <w:r>
        <w:rPr>
          <w:rFonts w:ascii="Arial" w:cs="Arial" w:eastAsia="Arial" w:hAnsi="Arial"/>
          <w:b/>
          <w:bCs/>
          <w:color w:val="1B3A6B"/>
          <w:sz w:val="32"/>
          <w:szCs w:val="32"/>
        </w:rPr>
        <w:t xml:space="preserve">4. Hiring Manager Interview Prep</w:t>
      </w:r>
    </w:p>
    <w:p>
      <w:pPr>
        <w:spacing w:before="0" w:after="40"/>
      </w:pPr>
      <w:r>
        <w:t xml:space="preserve"/>
      </w:r>
    </w:p>
    <w:p>
      <w:pPr>
        <w:spacing w:before="60" w:after="60"/>
      </w:pPr>
      <w:r>
        <w:rPr>
          <w:rFonts w:ascii="Arial" w:cs="Arial" w:eastAsia="Arial" w:hAnsi="Arial"/>
          <w:color w:val="1F2937"/>
          <w:sz w:val="20"/>
          <w:szCs w:val="20"/>
        </w:rPr>
        <w:t xml:space="preserve">The hiring manager is almost certainly the Head of Biostatistics or a senior biometrics leader at Apogee. This is where the real technical and leadership depth will be probed. Expect 60 minutes. Come in with a clear narrative about how your experience maps to exactly what they are building.</w:t>
      </w:r>
    </w:p>
    <w:p>
      <w:pPr>
        <w:spacing w:before="0" w:after="80"/>
      </w:pPr>
      <w:r>
        <w:t xml:space="preserve"/>
      </w:r>
    </w:p>
    <w:p>
      <w:pPr>
        <w:pStyle w:val="Heading2"/>
        <w:spacing w:before="240" w:after="100"/>
      </w:pPr>
      <w:r>
        <w:rPr>
          <w:rFonts w:ascii="Arial" w:cs="Arial" w:eastAsia="Arial" w:hAnsi="Arial"/>
          <w:b/>
          <w:bCs/>
          <w:color w:val="2563EB"/>
          <w:sz w:val="26"/>
          <w:szCs w:val="26"/>
        </w:rPr>
        <w:t xml:space="preserve">Likely Areas of Deep Dive</w:t>
      </w:r>
    </w:p>
    <w:p>
      <w:pPr>
        <w:pStyle w:val="ListParagraph"/>
        <w:numPr>
          <w:ilvl w:val="0"/>
          <w:numId w:val="2"/>
        </w:numPr>
        <w:spacing w:before="40" w:after="40"/>
      </w:pPr>
      <w:r>
        <w:rPr>
          <w:rFonts w:ascii="Arial" w:cs="Arial" w:eastAsia="Arial" w:hAnsi="Arial"/>
          <w:color w:val="1F2937"/>
          <w:sz w:val="20"/>
          <w:szCs w:val="20"/>
        </w:rPr>
        <w:t xml:space="preserve">Your SAP authorship process — how you structure analysis plans for pivotal trials, handle estimands, manage deviations</w:t>
      </w:r>
    </w:p>
    <w:p>
      <w:pPr>
        <w:pStyle w:val="ListParagraph"/>
        <w:numPr>
          <w:ilvl w:val="0"/>
          <w:numId w:val="2"/>
        </w:numPr>
        <w:spacing w:before="40" w:after="40"/>
      </w:pPr>
      <w:r>
        <w:rPr>
          <w:rFonts w:ascii="Arial" w:cs="Arial" w:eastAsia="Arial" w:hAnsi="Arial"/>
          <w:color w:val="1F2937"/>
          <w:sz w:val="20"/>
          <w:szCs w:val="20"/>
        </w:rPr>
        <w:t xml:space="preserve">Your CRO oversight model — how you hold vendors accountable for quality and timelines, what your review process looks like</w:t>
      </w:r>
    </w:p>
    <w:p>
      <w:pPr>
        <w:pStyle w:val="ListParagraph"/>
        <w:numPr>
          <w:ilvl w:val="0"/>
          <w:numId w:val="2"/>
        </w:numPr>
        <w:spacing w:before="40" w:after="40"/>
      </w:pPr>
      <w:r>
        <w:rPr>
          <w:rFonts w:ascii="Arial" w:cs="Arial" w:eastAsia="Arial" w:hAnsi="Arial"/>
          <w:color w:val="1F2937"/>
          <w:sz w:val="20"/>
          <w:szCs w:val="20"/>
        </w:rPr>
        <w:t xml:space="preserve">Adaptive and Bayesian methods — whether you have designed or executed adaptive trials, not just cited them</w:t>
      </w:r>
    </w:p>
    <w:p>
      <w:pPr>
        <w:pStyle w:val="ListParagraph"/>
        <w:numPr>
          <w:ilvl w:val="0"/>
          <w:numId w:val="2"/>
        </w:numPr>
        <w:spacing w:before="40" w:after="40"/>
      </w:pPr>
      <w:r>
        <w:rPr>
          <w:rFonts w:ascii="Arial" w:cs="Arial" w:eastAsia="Arial" w:hAnsi="Arial"/>
          <w:color w:val="1F2937"/>
          <w:sz w:val="20"/>
          <w:szCs w:val="20"/>
        </w:rPr>
        <w:t xml:space="preserve">DMC experience — your role in supporting DMC operations, charter development, and interim analysis execution</w:t>
      </w:r>
    </w:p>
    <w:p>
      <w:pPr>
        <w:pStyle w:val="ListParagraph"/>
        <w:numPr>
          <w:ilvl w:val="0"/>
          <w:numId w:val="2"/>
        </w:numPr>
        <w:spacing w:before="40" w:after="40"/>
      </w:pPr>
      <w:r>
        <w:rPr>
          <w:rFonts w:ascii="Arial" w:cs="Arial" w:eastAsia="Arial" w:hAnsi="Arial"/>
          <w:color w:val="1F2937"/>
          <w:sz w:val="20"/>
          <w:szCs w:val="20"/>
        </w:rPr>
        <w:t xml:space="preserve">Your experience communicating with non-statisticians — give a specific story about presenting complex statistical results to a clinical or regulatory audience</w:t>
      </w:r>
    </w:p>
    <w:p>
      <w:pPr>
        <w:pStyle w:val="ListParagraph"/>
        <w:numPr>
          <w:ilvl w:val="0"/>
          <w:numId w:val="2"/>
        </w:numPr>
        <w:spacing w:before="40" w:after="40"/>
      </w:pPr>
      <w:r>
        <w:rPr>
          <w:rFonts w:ascii="Arial" w:cs="Arial" w:eastAsia="Arial" w:hAnsi="Arial"/>
          <w:color w:val="1F2937"/>
          <w:sz w:val="20"/>
          <w:szCs w:val="20"/>
        </w:rPr>
        <w:t xml:space="preserve">How you manage in ambiguity — Apogee moves fast; they want to know you do not freeze when there is no precedent</w:t>
      </w:r>
    </w:p>
    <w:p>
      <w:pPr>
        <w:spacing w:before="0" w:after="80"/>
      </w:pPr>
      <w:r>
        <w:t xml:space="preserve"/>
      </w:r>
    </w:p>
    <w:p>
      <w:pPr>
        <w:pStyle w:val="Heading2"/>
        <w:spacing w:before="240" w:after="100"/>
      </w:pPr>
      <w:r>
        <w:rPr>
          <w:rFonts w:ascii="Arial" w:cs="Arial" w:eastAsia="Arial" w:hAnsi="Arial"/>
          <w:b/>
          <w:bCs/>
          <w:color w:val="2563EB"/>
          <w:sz w:val="26"/>
          <w:szCs w:val="26"/>
        </w:rPr>
        <w:t xml:space="preserve">Behavioral Questions — STAR Framework</w:t>
      </w:r>
    </w:p>
    <w:p>
      <w:pPr>
        <w:spacing w:before="60" w:after="60"/>
      </w:pPr>
      <w:r>
        <w:rPr>
          <w:rFonts w:ascii="Arial" w:cs="Arial" w:eastAsia="Arial" w:hAnsi="Arial"/>
          <w:color w:val="1F2937"/>
          <w:sz w:val="20"/>
          <w:szCs w:val="20"/>
        </w:rPr>
        <w:t xml:space="preserve">For each question, structure your answer using Situation → Task → Action → Result. Keep each answer to about 2-3 minutes unless asked to go deeper.</w:t>
      </w:r>
    </w:p>
    <w:p>
      <w:pPr>
        <w:spacing w:before="0" w:after="60"/>
      </w:pPr>
      <w:r>
        <w:t xml:space="preserve"/>
      </w:r>
    </w:p>
    <w:p>
      <w:pPr>
        <w:spacing w:before="160" w:after="80"/>
      </w:pPr>
      <w:r>
        <w:rPr>
          <w:rFonts w:ascii="Arial" w:cs="Arial" w:eastAsia="Arial" w:hAnsi="Arial"/>
          <w:b/>
          <w:bCs/>
          <w:color w:val="1B3A6B"/>
          <w:sz w:val="21"/>
          <w:szCs w:val="21"/>
        </w:rPr>
        <w:t xml:space="preserve">Tell me about a time you led the statistical strategy for a pivotal study from design through CSR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BFDBFE" w:val="clear"/>
            <w:tcMar>
              <w:top w:type="dxa" w:w="80"/>
              <w:left w:type="dxa" w:w="120"/>
              <w:bottom w:type="dxa" w:w="80"/>
              <w:right w:type="dxa" w:w="120"/>
            </w:tcMar>
          </w:tcPr>
          <w:p>
            <w:r>
              <w:rPr>
                <w:rFonts w:ascii="Arial" w:cs="Arial" w:eastAsia="Arial" w:hAnsi="Arial"/>
                <w:b/>
                <w:bCs/>
                <w:color w:val="1B3A6B"/>
                <w:sz w:val="19"/>
                <w:szCs w:val="19"/>
              </w:rPr>
              <w:t xml:space="preserve">S  Situation</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At Kyverna, I was the statistical lead for a pivotal autoimmune program targeting myasthenia gravis on a BLA timeline. The study involved a complex adaptive design with multiple interim analyses.</w:t>
            </w:r>
          </w:p>
        </w:tc>
      </w:tr>
      <w:tr>
        <w:tc>
          <w:tcPr>
            <w:tcW w:type="dxa" w:w="14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3A6B"/>
                <w:sz w:val="19"/>
                <w:szCs w:val="19"/>
              </w:rPr>
              <w:t xml:space="preserve">T  Task</w:t>
            </w:r>
          </w:p>
        </w:tc>
        <w:tc>
          <w:tcPr>
            <w:tcW w:type="dxa" w:w="79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I needed to author the SAP, oversee CRO TFL delivery, support the DMC, and ensure the CSR met FDA standards — all in parallel with a small team.</w:t>
            </w:r>
          </w:p>
        </w:tc>
      </w:tr>
      <w:tr>
        <w:tc>
          <w:tcPr>
            <w:tcW w:type="dxa" w:w="1440"/>
            <w:tcBorders>
              <w:top w:val="single" w:color="CCCCCC" w:sz="1"/>
              <w:left w:val="single" w:color="CCCCCC" w:sz="1"/>
              <w:bottom w:val="single" w:color="CCCCCC" w:sz="1"/>
              <w:right w:val="single" w:color="CCCCCC" w:sz="1"/>
            </w:tcBorders>
            <w:shd w:fill="BFDBFE" w:val="clear"/>
            <w:tcMar>
              <w:top w:type="dxa" w:w="80"/>
              <w:left w:type="dxa" w:w="120"/>
              <w:bottom w:type="dxa" w:w="80"/>
              <w:right w:type="dxa" w:w="120"/>
            </w:tcMar>
          </w:tcPr>
          <w:p>
            <w:r>
              <w:rPr>
                <w:rFonts w:ascii="Arial" w:cs="Arial" w:eastAsia="Arial" w:hAnsi="Arial"/>
                <w:b/>
                <w:bCs/>
                <w:color w:val="1B3A6B"/>
                <w:sz w:val="19"/>
                <w:szCs w:val="19"/>
              </w:rPr>
              <w:t xml:space="preserve">A  Action</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I built a master statistical delivery schedule, held weekly CRO review calls with structured TFL QC checklists, and partnered directly with the regulatory team on the integrated summary design. When an interim analysis triggered an early efficacy signal, I worked through the analysis validation overnight with the CRO statistical lead before presenting to the DMC.</w:t>
            </w:r>
          </w:p>
        </w:tc>
      </w:tr>
      <w:tr>
        <w:tc>
          <w:tcPr>
            <w:tcW w:type="dxa" w:w="14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3A6B"/>
                <w:sz w:val="19"/>
                <w:szCs w:val="19"/>
              </w:rPr>
              <w:t xml:space="preserve">R  Result</w:t>
            </w:r>
          </w:p>
        </w:tc>
        <w:tc>
          <w:tcPr>
            <w:tcW w:type="dxa" w:w="79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We delivered the pivotal CSR on timeline. The integrated analyses were accepted without major queries in the BLA review cycle. The program was on track for submission before the restructuring.</w:t>
            </w:r>
          </w:p>
        </w:tc>
      </w:tr>
    </w:tbl>
    <w:p>
      <w:pPr>
        <w:spacing w:before="0" w:after="80"/>
      </w:pPr>
      <w:r>
        <w:t xml:space="preserve"/>
      </w:r>
    </w:p>
    <w:p>
      <w:pPr>
        <w:spacing w:before="160" w:after="80"/>
      </w:pPr>
      <w:r>
        <w:rPr>
          <w:rFonts w:ascii="Arial" w:cs="Arial" w:eastAsia="Arial" w:hAnsi="Arial"/>
          <w:b/>
          <w:bCs/>
          <w:color w:val="1B3A6B"/>
          <w:sz w:val="21"/>
          <w:szCs w:val="21"/>
        </w:rPr>
        <w:t xml:space="preserve">Describe a situation where you had to explain a complex statistical concept to a non-statistical stakeholder and change their 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BFDBFE" w:val="clear"/>
            <w:tcMar>
              <w:top w:type="dxa" w:w="80"/>
              <w:left w:type="dxa" w:w="120"/>
              <w:bottom w:type="dxa" w:w="80"/>
              <w:right w:type="dxa" w:w="120"/>
            </w:tcMar>
          </w:tcPr>
          <w:p>
            <w:r>
              <w:rPr>
                <w:rFonts w:ascii="Arial" w:cs="Arial" w:eastAsia="Arial" w:hAnsi="Arial"/>
                <w:b/>
                <w:bCs/>
                <w:color w:val="1B3A6B"/>
                <w:sz w:val="19"/>
                <w:szCs w:val="19"/>
              </w:rPr>
              <w:t xml:space="preserve">S  Situation</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At Atara, the clinical development team initially wanted to use a simple LOCF imputation approach for a primary endpoint in an MS program — a method that would not have been defensible with FDA.</w:t>
            </w:r>
          </w:p>
        </w:tc>
      </w:tr>
      <w:tr>
        <w:tc>
          <w:tcPr>
            <w:tcW w:type="dxa" w:w="14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3A6B"/>
                <w:sz w:val="19"/>
                <w:szCs w:val="19"/>
              </w:rPr>
              <w:t xml:space="preserve">T  Task</w:t>
            </w:r>
          </w:p>
        </w:tc>
        <w:tc>
          <w:tcPr>
            <w:tcW w:type="dxa" w:w="79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I needed to persuade both the clinical lead and CMO to adopt a mixed model for repeated measures approach without losing credibility or slowing the timeline.</w:t>
            </w:r>
          </w:p>
        </w:tc>
      </w:tr>
      <w:tr>
        <w:tc>
          <w:tcPr>
            <w:tcW w:type="dxa" w:w="1440"/>
            <w:tcBorders>
              <w:top w:val="single" w:color="CCCCCC" w:sz="1"/>
              <w:left w:val="single" w:color="CCCCCC" w:sz="1"/>
              <w:bottom w:val="single" w:color="CCCCCC" w:sz="1"/>
              <w:right w:val="single" w:color="CCCCCC" w:sz="1"/>
            </w:tcBorders>
            <w:shd w:fill="BFDBFE" w:val="clear"/>
            <w:tcMar>
              <w:top w:type="dxa" w:w="80"/>
              <w:left w:type="dxa" w:w="120"/>
              <w:bottom w:type="dxa" w:w="80"/>
              <w:right w:type="dxa" w:w="120"/>
            </w:tcMar>
          </w:tcPr>
          <w:p>
            <w:r>
              <w:rPr>
                <w:rFonts w:ascii="Arial" w:cs="Arial" w:eastAsia="Arial" w:hAnsi="Arial"/>
                <w:b/>
                <w:bCs/>
                <w:color w:val="1B3A6B"/>
                <w:sz w:val="19"/>
                <w:szCs w:val="19"/>
              </w:rPr>
              <w:t xml:space="preserve">A  Action</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I built a one-page visual comparison of the two approaches — showing FDA guidance expectations, a simulated dataset outcome, and the regulatory risk profile of LOCF in this indication. I presented it in a 20-minute team meeting and offered to run a sensitivity analysis to show alignment between both approaches.</w:t>
            </w:r>
          </w:p>
        </w:tc>
      </w:tr>
      <w:tr>
        <w:tc>
          <w:tcPr>
            <w:tcW w:type="dxa" w:w="14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3A6B"/>
                <w:sz w:val="19"/>
                <w:szCs w:val="19"/>
              </w:rPr>
              <w:t xml:space="preserve">R  Result</w:t>
            </w:r>
          </w:p>
        </w:tc>
        <w:tc>
          <w:tcPr>
            <w:tcW w:type="dxa" w:w="79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The team agreed to the MMRM approach within the week. The SAP was finalized with no pushback from the regulatory reviewer, and we avoided a potential FDA query on the primary analysis.</w:t>
            </w:r>
          </w:p>
        </w:tc>
      </w:tr>
    </w:tbl>
    <w:p>
      <w:pPr>
        <w:spacing w:before="0" w:after="80"/>
      </w:pPr>
      <w:r>
        <w:t xml:space="preserve"/>
      </w:r>
    </w:p>
    <w:p>
      <w:pPr>
        <w:spacing w:before="160" w:after="80"/>
      </w:pPr>
      <w:r>
        <w:rPr>
          <w:rFonts w:ascii="Arial" w:cs="Arial" w:eastAsia="Arial" w:hAnsi="Arial"/>
          <w:b/>
          <w:bCs/>
          <w:color w:val="1B3A6B"/>
          <w:sz w:val="21"/>
          <w:szCs w:val="21"/>
        </w:rPr>
        <w:t xml:space="preserve">Tell me about a time your CRO missed a quality standard or timeline commitment. How did you handle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BFDBFE" w:val="clear"/>
            <w:tcMar>
              <w:top w:type="dxa" w:w="80"/>
              <w:left w:type="dxa" w:w="120"/>
              <w:bottom w:type="dxa" w:w="80"/>
              <w:right w:type="dxa" w:w="120"/>
            </w:tcMar>
          </w:tcPr>
          <w:p>
            <w:r>
              <w:rPr>
                <w:rFonts w:ascii="Arial" w:cs="Arial" w:eastAsia="Arial" w:hAnsi="Arial"/>
                <w:b/>
                <w:bCs/>
                <w:color w:val="1B3A6B"/>
                <w:sz w:val="19"/>
                <w:szCs w:val="19"/>
              </w:rPr>
              <w:t xml:space="preserve">S  Situation</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At Atara, our CRO delivered a first TFL package for a Phase 3 immunology program that had a significant number of programming errors — mock deviations, misapplied ADaM specs.</w:t>
            </w:r>
          </w:p>
        </w:tc>
      </w:tr>
      <w:tr>
        <w:tc>
          <w:tcPr>
            <w:tcW w:type="dxa" w:w="14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3A6B"/>
                <w:sz w:val="19"/>
                <w:szCs w:val="19"/>
              </w:rPr>
              <w:t xml:space="preserve">T  Task</w:t>
            </w:r>
          </w:p>
        </w:tc>
        <w:tc>
          <w:tcPr>
            <w:tcW w:type="dxa" w:w="79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As statistical lead, I needed to remediate the package without jeopardizing the database lock timeline, and address the systemic issue so it did not recur.</w:t>
            </w:r>
          </w:p>
        </w:tc>
      </w:tr>
      <w:tr>
        <w:tc>
          <w:tcPr>
            <w:tcW w:type="dxa" w:w="1440"/>
            <w:tcBorders>
              <w:top w:val="single" w:color="CCCCCC" w:sz="1"/>
              <w:left w:val="single" w:color="CCCCCC" w:sz="1"/>
              <w:bottom w:val="single" w:color="CCCCCC" w:sz="1"/>
              <w:right w:val="single" w:color="CCCCCC" w:sz="1"/>
            </w:tcBorders>
            <w:shd w:fill="BFDBFE" w:val="clear"/>
            <w:tcMar>
              <w:top w:type="dxa" w:w="80"/>
              <w:left w:type="dxa" w:w="120"/>
              <w:bottom w:type="dxa" w:w="80"/>
              <w:right w:type="dxa" w:w="120"/>
            </w:tcMar>
          </w:tcPr>
          <w:p>
            <w:r>
              <w:rPr>
                <w:rFonts w:ascii="Arial" w:cs="Arial" w:eastAsia="Arial" w:hAnsi="Arial"/>
                <w:b/>
                <w:bCs/>
                <w:color w:val="1B3A6B"/>
                <w:sz w:val="19"/>
                <w:szCs w:val="19"/>
              </w:rPr>
              <w:t xml:space="preserve">A  Action</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I convened an immediate root cause meeting with the CRO stat lead and programming manager, documented every error categorically, and escalated to the CRO account director. I implemented a bi-weekly QC checkpoint into the delivery schedule and required mock TFL sign-off before final production.</w:t>
            </w:r>
          </w:p>
        </w:tc>
      </w:tr>
      <w:tr>
        <w:tc>
          <w:tcPr>
            <w:tcW w:type="dxa" w:w="14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3A6B"/>
                <w:sz w:val="19"/>
                <w:szCs w:val="19"/>
              </w:rPr>
              <w:t xml:space="preserve">R  Result</w:t>
            </w:r>
          </w:p>
        </w:tc>
        <w:tc>
          <w:tcPr>
            <w:tcW w:type="dxa" w:w="79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We delivered a clean TFL package within 6 weeks. The CRO's performance improved markedly for the remainder of the program. I used the experience to develop a standard CRO onboarding checklist that the team adopted for subsequent engagements.</w:t>
            </w:r>
          </w:p>
        </w:tc>
      </w:tr>
    </w:tbl>
    <w:p>
      <w:pPr>
        <w:spacing w:before="0" w:after="80"/>
      </w:pPr>
      <w:r>
        <w:t xml:space="preserve"/>
      </w:r>
    </w:p>
    <w:p>
      <w:pPr>
        <w:spacing w:before="160" w:after="80"/>
      </w:pPr>
      <w:r>
        <w:rPr>
          <w:rFonts w:ascii="Arial" w:cs="Arial" w:eastAsia="Arial" w:hAnsi="Arial"/>
          <w:b/>
          <w:bCs/>
          <w:color w:val="1B3A6B"/>
          <w:sz w:val="21"/>
          <w:szCs w:val="21"/>
        </w:rPr>
        <w:t xml:space="preserve">Give an example of a time you had to navigate significant ambiguity in a study design decision under time 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BFDBFE" w:val="clear"/>
            <w:tcMar>
              <w:top w:type="dxa" w:w="80"/>
              <w:left w:type="dxa" w:w="120"/>
              <w:bottom w:type="dxa" w:w="80"/>
              <w:right w:type="dxa" w:w="120"/>
            </w:tcMar>
          </w:tcPr>
          <w:p>
            <w:r>
              <w:rPr>
                <w:rFonts w:ascii="Arial" w:cs="Arial" w:eastAsia="Arial" w:hAnsi="Arial"/>
                <w:b/>
                <w:bCs/>
                <w:color w:val="1B3A6B"/>
                <w:sz w:val="19"/>
                <w:szCs w:val="19"/>
              </w:rPr>
              <w:t xml:space="preserve">S  Situation</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At Kyverna, we received FDA feedback on our protocol that was ambiguous about the preferred estimand framework for the primary endpoint — an unusual situation given how specific ICH E9(R1) guidance typically is.</w:t>
            </w:r>
          </w:p>
        </w:tc>
      </w:tr>
      <w:tr>
        <w:tc>
          <w:tcPr>
            <w:tcW w:type="dxa" w:w="14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3A6B"/>
                <w:sz w:val="19"/>
                <w:szCs w:val="19"/>
              </w:rPr>
              <w:t xml:space="preserve">T  Task</w:t>
            </w:r>
          </w:p>
        </w:tc>
        <w:tc>
          <w:tcPr>
            <w:tcW w:type="dxa" w:w="79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I had approximately two weeks before the protocol amendment deadline to clarify our position and align internally.</w:t>
            </w:r>
          </w:p>
        </w:tc>
      </w:tr>
      <w:tr>
        <w:tc>
          <w:tcPr>
            <w:tcW w:type="dxa" w:w="1440"/>
            <w:tcBorders>
              <w:top w:val="single" w:color="CCCCCC" w:sz="1"/>
              <w:left w:val="single" w:color="CCCCCC" w:sz="1"/>
              <w:bottom w:val="single" w:color="CCCCCC" w:sz="1"/>
              <w:right w:val="single" w:color="CCCCCC" w:sz="1"/>
            </w:tcBorders>
            <w:shd w:fill="BFDBFE" w:val="clear"/>
            <w:tcMar>
              <w:top w:type="dxa" w:w="80"/>
              <w:left w:type="dxa" w:w="120"/>
              <w:bottom w:type="dxa" w:w="80"/>
              <w:right w:type="dxa" w:w="120"/>
            </w:tcMar>
          </w:tcPr>
          <w:p>
            <w:r>
              <w:rPr>
                <w:rFonts w:ascii="Arial" w:cs="Arial" w:eastAsia="Arial" w:hAnsi="Arial"/>
                <w:b/>
                <w:bCs/>
                <w:color w:val="1B3A6B"/>
                <w:sz w:val="19"/>
                <w:szCs w:val="19"/>
              </w:rPr>
              <w:t xml:space="preserve">A  Action</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I led a cross-functional meeting with regulatory affairs, clinical, and medical to map three plausible estimand frameworks. I ran simulations for each and summarized the trade-offs in terms of FDA alignment risk, power implications, and operational feasibility. I drafted a pre-submission question for FDA and simultaneously built out the SAP section so we could pivot quickly.</w:t>
            </w:r>
          </w:p>
        </w:tc>
      </w:tr>
      <w:tr>
        <w:tc>
          <w:tcPr>
            <w:tcW w:type="dxa" w:w="14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3A6B"/>
                <w:sz w:val="19"/>
                <w:szCs w:val="19"/>
              </w:rPr>
              <w:t xml:space="preserve">R  Result</w:t>
            </w:r>
          </w:p>
        </w:tc>
        <w:tc>
          <w:tcPr>
            <w:tcW w:type="dxa" w:w="79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We submitted the pre-submission question and received alignment within 10 days. The estimand framework we proposed was accepted without modification.</w:t>
            </w:r>
          </w:p>
        </w:tc>
      </w:tr>
    </w:tbl>
    <w:p>
      <w:pPr>
        <w:spacing w:before="0" w:after="80"/>
      </w:pPr>
      <w:r>
        <w:t xml:space="preserve"/>
      </w:r>
    </w:p>
    <w:p>
      <w:pPr>
        <w:spacing w:before="0" w:after="80"/>
      </w:pPr>
      <w:r>
        <w:t xml:space="preserve"/>
      </w:r>
    </w:p>
    <w:p>
      <w:pPr>
        <w:pStyle w:val="Heading2"/>
        <w:spacing w:before="240" w:after="100"/>
      </w:pPr>
      <w:r>
        <w:rPr>
          <w:rFonts w:ascii="Arial" w:cs="Arial" w:eastAsia="Arial" w:hAnsi="Arial"/>
          <w:b/>
          <w:bCs/>
          <w:color w:val="2563EB"/>
          <w:sz w:val="26"/>
          <w:szCs w:val="26"/>
        </w:rPr>
        <w:t xml:space="preserve">Technical / Skill-Specific Questions</w:t>
      </w:r>
    </w:p>
    <w:p>
      <w:pPr>
        <w:spacing w:before="180" w:after="80"/>
      </w:pPr>
      <w:r>
        <w:rPr>
          <w:rFonts w:ascii="Arial" w:cs="Arial" w:eastAsia="Arial" w:hAnsi="Arial"/>
          <w:b/>
          <w:bCs/>
          <w:color w:val="1B3A6B"/>
          <w:sz w:val="22"/>
          <w:szCs w:val="22"/>
        </w:rPr>
        <w:t xml:space="preserve">1. Walk me through how you approach an estimand framework for a pivotal atopic dermatitis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60" w:after="80"/>
            </w:pPr>
            <w:r>
              <w:rPr>
                <w:rFonts w:ascii="Arial" w:cs="Arial" w:eastAsia="Arial" w:hAnsi="Arial"/>
                <w:b/>
                <w:bCs/>
                <w:color w:val="1B3A6B"/>
                <w:sz w:val="22"/>
                <w:szCs w:val="22"/>
              </w:rPr>
              <w:t xml:space="preserve">Prep Notes</w:t>
            </w:r>
          </w:p>
          <w:p>
            <w:pPr>
              <w:pStyle w:val="ListParagraph"/>
              <w:numPr>
                <w:ilvl w:val="0"/>
                <w:numId w:val="2"/>
              </w:numPr>
              <w:spacing w:before="40" w:after="40"/>
            </w:pPr>
            <w:r>
              <w:rPr>
                <w:rFonts w:ascii="Arial" w:cs="Arial" w:eastAsia="Arial" w:hAnsi="Arial"/>
                <w:color w:val="1F2937"/>
                <w:sz w:val="20"/>
                <w:szCs w:val="20"/>
              </w:rPr>
              <w:t xml:space="preserve">Reference ICH E9(R1) — the estimand addendum framework: population, treatment, variable, intercurrent events, and summary measure</w:t>
            </w:r>
          </w:p>
          <w:p>
            <w:pPr>
              <w:pStyle w:val="ListParagraph"/>
              <w:numPr>
                <w:ilvl w:val="0"/>
                <w:numId w:val="2"/>
              </w:numPr>
              <w:spacing w:before="40" w:after="40"/>
            </w:pPr>
            <w:r>
              <w:rPr>
                <w:rFonts w:ascii="Arial" w:cs="Arial" w:eastAsia="Arial" w:hAnsi="Arial"/>
                <w:color w:val="1F2937"/>
                <w:sz w:val="20"/>
                <w:szCs w:val="20"/>
              </w:rPr>
              <w:t xml:space="preserve">For AD: discuss IGA/EASI responder endpoints, common intercurrent events (rescue medication use, treatment discontinuation), and the treatment policy vs hypothetical strategy debate</w:t>
            </w:r>
          </w:p>
          <w:p>
            <w:pPr>
              <w:pStyle w:val="ListParagraph"/>
              <w:numPr>
                <w:ilvl w:val="0"/>
                <w:numId w:val="2"/>
              </w:numPr>
              <w:spacing w:before="40" w:after="40"/>
            </w:pPr>
            <w:r>
              <w:rPr>
                <w:rFonts w:ascii="Arial" w:cs="Arial" w:eastAsia="Arial" w:hAnsi="Arial"/>
                <w:color w:val="1F2937"/>
                <w:sz w:val="20"/>
                <w:szCs w:val="20"/>
              </w:rPr>
              <w:t xml:space="preserve">Mention FDA's recent guidance on dermatology endpoints as a signal that you stay current with regulatory thinking</w:t>
            </w:r>
          </w:p>
          <w:p>
            <w:pPr>
              <w:pStyle w:val="ListParagraph"/>
              <w:numPr>
                <w:ilvl w:val="0"/>
                <w:numId w:val="2"/>
              </w:numPr>
              <w:spacing w:before="40" w:after="40"/>
            </w:pPr>
            <w:r>
              <w:rPr>
                <w:rFonts w:ascii="Arial" w:cs="Arial" w:eastAsia="Arial" w:hAnsi="Arial"/>
                <w:color w:val="1F2937"/>
                <w:sz w:val="20"/>
                <w:szCs w:val="20"/>
              </w:rPr>
              <w:t xml:space="preserve">Note the importance of aligning the estimand with the clinical claim before the SAP is written</w:t>
            </w:r>
          </w:p>
        </w:tc>
      </w:tr>
    </w:tbl>
    <w:p>
      <w:pPr>
        <w:spacing w:before="0" w:after="60"/>
      </w:pPr>
      <w:r>
        <w:t xml:space="preserve"/>
      </w:r>
    </w:p>
    <w:p>
      <w:pPr>
        <w:spacing w:before="180" w:after="80"/>
      </w:pPr>
      <w:r>
        <w:rPr>
          <w:rFonts w:ascii="Arial" w:cs="Arial" w:eastAsia="Arial" w:hAnsi="Arial"/>
          <w:b/>
          <w:bCs/>
          <w:color w:val="1B3A6B"/>
          <w:sz w:val="22"/>
          <w:szCs w:val="22"/>
        </w:rPr>
        <w:t xml:space="preserve">2. How do you approach multiplicity control in a study with multiple endpoints and multiple doses?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60" w:after="80"/>
            </w:pPr>
            <w:r>
              <w:rPr>
                <w:rFonts w:ascii="Arial" w:cs="Arial" w:eastAsia="Arial" w:hAnsi="Arial"/>
                <w:b/>
                <w:bCs/>
                <w:color w:val="1B3A6B"/>
                <w:sz w:val="22"/>
                <w:szCs w:val="22"/>
              </w:rPr>
              <w:t xml:space="preserve">Prep Notes</w:t>
            </w:r>
          </w:p>
          <w:p>
            <w:pPr>
              <w:pStyle w:val="ListParagraph"/>
              <w:numPr>
                <w:ilvl w:val="0"/>
                <w:numId w:val="2"/>
              </w:numPr>
              <w:spacing w:before="40" w:after="40"/>
            </w:pPr>
            <w:r>
              <w:rPr>
                <w:rFonts w:ascii="Arial" w:cs="Arial" w:eastAsia="Arial" w:hAnsi="Arial"/>
                <w:color w:val="1F2937"/>
                <w:sz w:val="20"/>
                <w:szCs w:val="20"/>
              </w:rPr>
              <w:t xml:space="preserve">Describe hierarchical testing procedures (fixed sequence, fallback) and graphical methods (Bonferroni-based)</w:t>
            </w:r>
          </w:p>
          <w:p>
            <w:pPr>
              <w:pStyle w:val="ListParagraph"/>
              <w:numPr>
                <w:ilvl w:val="0"/>
                <w:numId w:val="2"/>
              </w:numPr>
              <w:spacing w:before="40" w:after="40"/>
            </w:pPr>
            <w:r>
              <w:rPr>
                <w:rFonts w:ascii="Arial" w:cs="Arial" w:eastAsia="Arial" w:hAnsi="Arial"/>
                <w:color w:val="1F2937"/>
                <w:sz w:val="20"/>
                <w:szCs w:val="20"/>
              </w:rPr>
              <w:t xml:space="preserve">Mention dose-response multiplicity — common in biologics trials with two or three dose arms</w:t>
            </w:r>
          </w:p>
          <w:p>
            <w:pPr>
              <w:pStyle w:val="ListParagraph"/>
              <w:numPr>
                <w:ilvl w:val="0"/>
                <w:numId w:val="2"/>
              </w:numPr>
              <w:spacing w:before="40" w:after="40"/>
            </w:pPr>
            <w:r>
              <w:rPr>
                <w:rFonts w:ascii="Arial" w:cs="Arial" w:eastAsia="Arial" w:hAnsi="Arial"/>
                <w:color w:val="1F2937"/>
                <w:sz w:val="20"/>
                <w:szCs w:val="20"/>
              </w:rPr>
              <w:t xml:space="preserve">Reference FDA guidance on multiplicity and any label implications from the testing strategy</w:t>
            </w:r>
          </w:p>
          <w:p>
            <w:pPr>
              <w:pStyle w:val="ListParagraph"/>
              <w:numPr>
                <w:ilvl w:val="0"/>
                <w:numId w:val="2"/>
              </w:numPr>
              <w:spacing w:before="40" w:after="40"/>
            </w:pPr>
            <w:r>
              <w:rPr>
                <w:rFonts w:ascii="Arial" w:cs="Arial" w:eastAsia="Arial" w:hAnsi="Arial"/>
                <w:color w:val="1F2937"/>
                <w:sz w:val="20"/>
                <w:szCs w:val="20"/>
              </w:rPr>
              <w:t xml:space="preserve">Flag that the strategy should be pre-specified in the SAP and aligned with the clinical development plan</w:t>
            </w:r>
          </w:p>
        </w:tc>
      </w:tr>
    </w:tbl>
    <w:p>
      <w:pPr>
        <w:spacing w:before="0" w:after="60"/>
      </w:pPr>
      <w:r>
        <w:t xml:space="preserve"/>
      </w:r>
    </w:p>
    <w:p>
      <w:pPr>
        <w:spacing w:before="180" w:after="80"/>
      </w:pPr>
      <w:r>
        <w:rPr>
          <w:rFonts w:ascii="Arial" w:cs="Arial" w:eastAsia="Arial" w:hAnsi="Arial"/>
          <w:b/>
          <w:bCs/>
          <w:color w:val="1B3A6B"/>
          <w:sz w:val="22"/>
          <w:szCs w:val="22"/>
        </w:rPr>
        <w:t xml:space="preserve">3. Describe your experience with adaptive trial designs. Have you designed or executed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60" w:after="80"/>
            </w:pPr>
            <w:r>
              <w:rPr>
                <w:rFonts w:ascii="Arial" w:cs="Arial" w:eastAsia="Arial" w:hAnsi="Arial"/>
                <w:b/>
                <w:bCs/>
                <w:color w:val="1B3A6B"/>
                <w:sz w:val="22"/>
                <w:szCs w:val="22"/>
              </w:rPr>
              <w:t xml:space="preserve">Prep Notes</w:t>
            </w:r>
          </w:p>
          <w:p>
            <w:pPr>
              <w:pStyle w:val="ListParagraph"/>
              <w:numPr>
                <w:ilvl w:val="0"/>
                <w:numId w:val="2"/>
              </w:numPr>
              <w:spacing w:before="40" w:after="40"/>
            </w:pPr>
            <w:r>
              <w:rPr>
                <w:rFonts w:ascii="Arial" w:cs="Arial" w:eastAsia="Arial" w:hAnsi="Arial"/>
                <w:color w:val="1F2937"/>
                <w:sz w:val="20"/>
                <w:szCs w:val="20"/>
              </w:rPr>
              <w:t xml:space="preserve">If you have direct experience, describe the specific adaptation (interim analysis with sample size re-estimation, response-adaptive randomization, seamless Phase 2/3)</w:t>
            </w:r>
          </w:p>
          <w:p>
            <w:pPr>
              <w:pStyle w:val="ListParagraph"/>
              <w:numPr>
                <w:ilvl w:val="0"/>
                <w:numId w:val="2"/>
              </w:numPr>
              <w:spacing w:before="40" w:after="40"/>
            </w:pPr>
            <w:r>
              <w:rPr>
                <w:rFonts w:ascii="Arial" w:cs="Arial" w:eastAsia="Arial" w:hAnsi="Arial"/>
                <w:color w:val="1F2937"/>
                <w:sz w:val="20"/>
                <w:szCs w:val="20"/>
              </w:rPr>
              <w:t xml:space="preserve">Discuss your role in the simulation work, the DMC charter structure, and operational blinding safeguards</w:t>
            </w:r>
          </w:p>
          <w:p>
            <w:pPr>
              <w:pStyle w:val="ListParagraph"/>
              <w:numPr>
                <w:ilvl w:val="0"/>
                <w:numId w:val="2"/>
              </w:numPr>
              <w:spacing w:before="40" w:after="40"/>
            </w:pPr>
            <w:r>
              <w:rPr>
                <w:rFonts w:ascii="Arial" w:cs="Arial" w:eastAsia="Arial" w:hAnsi="Arial"/>
                <w:color w:val="1F2937"/>
                <w:sz w:val="20"/>
                <w:szCs w:val="20"/>
              </w:rPr>
              <w:t xml:space="preserve">If experience is primarily oversight rather than design: own that distinction clearly, then describe the depth of statistical oversight you provided to the CRO statistician designing the adaptation</w:t>
            </w:r>
          </w:p>
        </w:tc>
      </w:tr>
    </w:tbl>
    <w:p>
      <w:pPr>
        <w:spacing w:before="0" w:after="60"/>
      </w:pPr>
      <w:r>
        <w:t xml:space="preserve"/>
      </w:r>
    </w:p>
    <w:p>
      <w:pPr>
        <w:spacing w:before="180" w:after="80"/>
      </w:pPr>
      <w:r>
        <w:rPr>
          <w:rFonts w:ascii="Arial" w:cs="Arial" w:eastAsia="Arial" w:hAnsi="Arial"/>
          <w:b/>
          <w:bCs/>
          <w:color w:val="1B3A6B"/>
          <w:sz w:val="22"/>
          <w:szCs w:val="22"/>
        </w:rPr>
        <w:t xml:space="preserve">4. How do you manage TFL delivery quality when working with an external CRO?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60" w:after="80"/>
            </w:pPr>
            <w:r>
              <w:rPr>
                <w:rFonts w:ascii="Arial" w:cs="Arial" w:eastAsia="Arial" w:hAnsi="Arial"/>
                <w:b/>
                <w:bCs/>
                <w:color w:val="1B3A6B"/>
                <w:sz w:val="22"/>
                <w:szCs w:val="22"/>
              </w:rPr>
              <w:t xml:space="preserve">Prep Notes</w:t>
            </w:r>
          </w:p>
          <w:p>
            <w:pPr>
              <w:pStyle w:val="ListParagraph"/>
              <w:numPr>
                <w:ilvl w:val="0"/>
                <w:numId w:val="2"/>
              </w:numPr>
              <w:spacing w:before="40" w:after="40"/>
            </w:pPr>
            <w:r>
              <w:rPr>
                <w:rFonts w:ascii="Arial" w:cs="Arial" w:eastAsia="Arial" w:hAnsi="Arial"/>
                <w:color w:val="1F2937"/>
                <w:sz w:val="20"/>
                <w:szCs w:val="20"/>
              </w:rPr>
              <w:t xml:space="preserve">Describe your QC framework: ADaM spec review, mock TFL sign-off process, production TFL review checklist</w:t>
            </w:r>
          </w:p>
          <w:p>
            <w:pPr>
              <w:pStyle w:val="ListParagraph"/>
              <w:numPr>
                <w:ilvl w:val="0"/>
                <w:numId w:val="2"/>
              </w:numPr>
              <w:spacing w:before="40" w:after="40"/>
            </w:pPr>
            <w:r>
              <w:rPr>
                <w:rFonts w:ascii="Arial" w:cs="Arial" w:eastAsia="Arial" w:hAnsi="Arial"/>
                <w:color w:val="1F2937"/>
                <w:sz w:val="20"/>
                <w:szCs w:val="20"/>
              </w:rPr>
              <w:t xml:space="preserve">Mention how you build the timeline — TFL delivery dates, freeze points, review windows — into the overall study plan</w:t>
            </w:r>
          </w:p>
          <w:p>
            <w:pPr>
              <w:pStyle w:val="ListParagraph"/>
              <w:numPr>
                <w:ilvl w:val="0"/>
                <w:numId w:val="2"/>
              </w:numPr>
              <w:spacing w:before="40" w:after="40"/>
            </w:pPr>
            <w:r>
              <w:rPr>
                <w:rFonts w:ascii="Arial" w:cs="Arial" w:eastAsia="Arial" w:hAnsi="Arial"/>
                <w:color w:val="1F2937"/>
                <w:sz w:val="20"/>
                <w:szCs w:val="20"/>
              </w:rPr>
              <w:t xml:space="preserve">Discuss what you escalate versus handle directly, and how you document deviations</w:t>
            </w:r>
          </w:p>
        </w:tc>
      </w:tr>
    </w:tbl>
    <w:p>
      <w:pPr>
        <w:spacing w:before="0" w:after="60"/>
      </w:pPr>
      <w:r>
        <w:t xml:space="preserve"/>
      </w:r>
    </w:p>
    <w:p>
      <w:pPr>
        <w:spacing w:before="180" w:after="80"/>
      </w:pPr>
      <w:r>
        <w:rPr>
          <w:rFonts w:ascii="Arial" w:cs="Arial" w:eastAsia="Arial" w:hAnsi="Arial"/>
          <w:b/>
          <w:bCs/>
          <w:color w:val="1B3A6B"/>
          <w:sz w:val="22"/>
          <w:szCs w:val="22"/>
        </w:rPr>
        <w:t xml:space="preserve">5. What is your SAS and R proficiency? Which do you default to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60" w:after="80"/>
            </w:pPr>
            <w:r>
              <w:rPr>
                <w:rFonts w:ascii="Arial" w:cs="Arial" w:eastAsia="Arial" w:hAnsi="Arial"/>
                <w:b/>
                <w:bCs/>
                <w:color w:val="1B3A6B"/>
                <w:sz w:val="22"/>
                <w:szCs w:val="22"/>
              </w:rPr>
              <w:t xml:space="preserve">Prep Notes</w:t>
            </w:r>
          </w:p>
          <w:p>
            <w:pPr>
              <w:pStyle w:val="ListParagraph"/>
              <w:numPr>
                <w:ilvl w:val="0"/>
                <w:numId w:val="2"/>
              </w:numPr>
              <w:spacing w:before="40" w:after="40"/>
            </w:pPr>
            <w:r>
              <w:rPr>
                <w:rFonts w:ascii="Arial" w:cs="Arial" w:eastAsia="Arial" w:hAnsi="Arial"/>
                <w:color w:val="1F2937"/>
                <w:sz w:val="20"/>
                <w:szCs w:val="20"/>
              </w:rPr>
              <w:t xml:space="preserve">Be honest about your primary tool. If SAS is your default for validation-critical work, explain why (CDISC standards, 21 CFR Part 11 audit trails)</w:t>
            </w:r>
          </w:p>
          <w:p>
            <w:pPr>
              <w:pStyle w:val="ListParagraph"/>
              <w:numPr>
                <w:ilvl w:val="0"/>
                <w:numId w:val="2"/>
              </w:numPr>
              <w:spacing w:before="40" w:after="40"/>
            </w:pPr>
            <w:r>
              <w:rPr>
                <w:rFonts w:ascii="Arial" w:cs="Arial" w:eastAsia="Arial" w:hAnsi="Arial"/>
                <w:color w:val="1F2937"/>
                <w:sz w:val="20"/>
                <w:szCs w:val="20"/>
              </w:rPr>
              <w:t xml:space="preserve">If you use R for exploratory analysis or visualization, mention that — it signals awareness of modern tooling</w:t>
            </w:r>
          </w:p>
          <w:p>
            <w:pPr>
              <w:pStyle w:val="ListParagraph"/>
              <w:numPr>
                <w:ilvl w:val="0"/>
                <w:numId w:val="2"/>
              </w:numPr>
              <w:spacing w:before="40" w:after="40"/>
            </w:pPr>
            <w:r>
              <w:rPr>
                <w:rFonts w:ascii="Arial" w:cs="Arial" w:eastAsia="Arial" w:hAnsi="Arial"/>
                <w:color w:val="1F2937"/>
                <w:sz w:val="20"/>
                <w:szCs w:val="20"/>
              </w:rPr>
              <w:t xml:space="preserve">Apogee may have a preference; it is reasonable to ask which tools their current team uses</w:t>
            </w:r>
          </w:p>
        </w:tc>
      </w:tr>
    </w:tbl>
    <w:p>
      <w:pPr>
        <w:spacing w:before="0" w:after="80"/>
      </w:pPr>
      <w:r>
        <w:t xml:space="preserve"/>
      </w:r>
    </w:p>
    <w:p>
      <w:pPr>
        <w:pStyle w:val="Heading2"/>
        <w:spacing w:before="240" w:after="100"/>
      </w:pPr>
      <w:r>
        <w:rPr>
          <w:rFonts w:ascii="Arial" w:cs="Arial" w:eastAsia="Arial" w:hAnsi="Arial"/>
          <w:b/>
          <w:bCs/>
          <w:color w:val="2563EB"/>
          <w:sz w:val="26"/>
          <w:szCs w:val="26"/>
        </w:rPr>
        <w:t xml:space="preserve">Smart Questions to Ask the Hiring Manager</w:t>
      </w:r>
    </w:p>
    <w:p>
      <w:pPr>
        <w:pStyle w:val="ListParagraph"/>
        <w:numPr>
          <w:ilvl w:val="0"/>
          <w:numId w:val="2"/>
        </w:numPr>
        <w:spacing w:before="40" w:after="40"/>
      </w:pPr>
      <w:r>
        <w:rPr>
          <w:rFonts w:ascii="Arial" w:cs="Arial" w:eastAsia="Arial" w:hAnsi="Arial"/>
          <w:color w:val="1F2937"/>
          <w:sz w:val="20"/>
          <w:szCs w:val="20"/>
        </w:rPr>
        <w:t xml:space="preserve">What does the current biometrics team look like — size, structure, and how the AD role interfaces with clinical and regulatory?</w:t>
      </w:r>
    </w:p>
    <w:p>
      <w:pPr>
        <w:pStyle w:val="ListParagraph"/>
        <w:numPr>
          <w:ilvl w:val="0"/>
          <w:numId w:val="2"/>
        </w:numPr>
        <w:spacing w:before="40" w:after="40"/>
      </w:pPr>
      <w:r>
        <w:rPr>
          <w:rFonts w:ascii="Arial" w:cs="Arial" w:eastAsia="Arial" w:hAnsi="Arial"/>
          <w:color w:val="1F2937"/>
          <w:sz w:val="20"/>
          <w:szCs w:val="20"/>
        </w:rPr>
        <w:t xml:space="preserve">Where does zumilokibart sit in Phase 3 planning, and what does the statistical deliverable timeline look like over the next 12-18 months?</w:t>
      </w:r>
    </w:p>
    <w:p>
      <w:pPr>
        <w:pStyle w:val="ListParagraph"/>
        <w:numPr>
          <w:ilvl w:val="0"/>
          <w:numId w:val="2"/>
        </w:numPr>
        <w:spacing w:before="40" w:after="40"/>
      </w:pPr>
      <w:r>
        <w:rPr>
          <w:rFonts w:ascii="Arial" w:cs="Arial" w:eastAsia="Arial" w:hAnsi="Arial"/>
          <w:color w:val="1F2937"/>
          <w:sz w:val="20"/>
          <w:szCs w:val="20"/>
        </w:rPr>
        <w:t xml:space="preserve">How does Apogee think about the balance between internal statistical execution versus CRO delegation at this stage of growth?</w:t>
      </w:r>
    </w:p>
    <w:p>
      <w:pPr>
        <w:pStyle w:val="ListParagraph"/>
        <w:numPr>
          <w:ilvl w:val="0"/>
          <w:numId w:val="2"/>
        </w:numPr>
        <w:spacing w:before="40" w:after="40"/>
      </w:pPr>
      <w:r>
        <w:rPr>
          <w:rFonts w:ascii="Arial" w:cs="Arial" w:eastAsia="Arial" w:hAnsi="Arial"/>
          <w:color w:val="1F2937"/>
          <w:sz w:val="20"/>
          <w:szCs w:val="20"/>
        </w:rPr>
        <w:t xml:space="preserve">What does success look like for the person in this role in the first 90 days?</w:t>
      </w:r>
    </w:p>
    <w:p>
      <w:pPr>
        <w:pStyle w:val="ListParagraph"/>
        <w:numPr>
          <w:ilvl w:val="0"/>
          <w:numId w:val="2"/>
        </w:numPr>
        <w:spacing w:before="40" w:after="40"/>
      </w:pPr>
      <w:r>
        <w:rPr>
          <w:rFonts w:ascii="Arial" w:cs="Arial" w:eastAsia="Arial" w:hAnsi="Arial"/>
          <w:color w:val="1F2937"/>
          <w:sz w:val="20"/>
          <w:szCs w:val="20"/>
        </w:rPr>
        <w:t xml:space="preserve">How does Apogee approach FDA interactions on statistical methodology — does the stat lead participate directly in Type B/C meetings?</w:t>
      </w:r>
    </w:p>
    <w:p>
      <w:pPr>
        <w:spacing w:before="0" w:after="40"/>
      </w:pPr>
      <w:r>
        <w:t xml:space="preserve"/>
      </w:r>
    </w:p>
    <w:p>
      <w:r>
        <w:br w:type="page"/>
      </w:r>
    </w:p>
    <w:p>
      <w:pPr>
        <w:pStyle w:val="Heading1"/>
        <w:pBdr>
          <w:bottom w:val="single" w:color="2563EB" w:sz="6" w:space="6"/>
        </w:pBdr>
        <w:spacing w:before="360" w:after="120"/>
      </w:pPr>
      <w:r>
        <w:rPr>
          <w:rFonts w:ascii="Arial" w:cs="Arial" w:eastAsia="Arial" w:hAnsi="Arial"/>
          <w:b/>
          <w:bCs/>
          <w:color w:val="1B3A6B"/>
          <w:sz w:val="32"/>
          <w:szCs w:val="32"/>
        </w:rPr>
        <w:t xml:space="preserve">5. Panel / Final Round Prep</w:t>
      </w:r>
    </w:p>
    <w:p>
      <w:pPr>
        <w:spacing w:before="0" w:after="40"/>
      </w:pPr>
      <w:r>
        <w:t xml:space="preserve"/>
      </w:r>
    </w:p>
    <w:p>
      <w:pPr>
        <w:spacing w:before="60" w:after="60"/>
      </w:pPr>
      <w:r>
        <w:rPr>
          <w:rFonts w:ascii="Arial" w:cs="Arial" w:eastAsia="Arial" w:hAnsi="Arial"/>
          <w:color w:val="1F2937"/>
          <w:sz w:val="20"/>
          <w:szCs w:val="20"/>
        </w:rPr>
        <w:t xml:space="preserve">If the hiring manager advances you, expect a panel that likely includes clinical development leadership, a regulatory affairs lead, and potentially a biometrics peer or senior director. Multi-interviewer rounds test consistency, cross-functional fluency, and cultural fit. Your job is to tell the same coherent story to every person at the table.</w:t>
      </w:r>
    </w:p>
    <w:p>
      <w:pPr>
        <w:spacing w:before="0" w:after="80"/>
      </w:pPr>
      <w:r>
        <w:t xml:space="preserve"/>
      </w:r>
    </w:p>
    <w:p>
      <w:pPr>
        <w:pStyle w:val="Heading2"/>
        <w:spacing w:before="240" w:after="100"/>
      </w:pPr>
      <w:r>
        <w:rPr>
          <w:rFonts w:ascii="Arial" w:cs="Arial" w:eastAsia="Arial" w:hAnsi="Arial"/>
          <w:b/>
          <w:bCs/>
          <w:color w:val="2563EB"/>
          <w:sz w:val="26"/>
          <w:szCs w:val="26"/>
        </w:rPr>
        <w:t xml:space="preserve">Anticipated Themes by Interviewer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Likely Panelist</w:t>
            </w:r>
          </w:p>
        </w:tc>
        <w:tc>
          <w:tcPr>
            <w:tcW w:type="dxa" w:w="5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What They Will Probe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Clinical Development Lead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How you communicate stat results to non-statisticians; how you partner on protocol design and endpoint selection</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Regulatory Affairs Lead</w:t>
            </w:r>
          </w:p>
        </w:tc>
        <w:tc>
          <w:tcPr>
            <w:tcW w:type="dxa" w:w="57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Your fluency with FDA/EMA guidance, estimand frameworks, and your role in submission documents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Biometrics Peer/Senior Director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Methodological depth, CRO management, your approach to quality and timelines under pressure</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Head of HR / People Partner</w:t>
            </w:r>
          </w:p>
        </w:tc>
        <w:tc>
          <w:tcPr>
            <w:tcW w:type="dxa" w:w="57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Cultural alignment with C.O.R.E. values; leadership style; how you navigate conflict and ambiguity</w:t>
            </w:r>
          </w:p>
        </w:tc>
      </w:tr>
    </w:tbl>
    <w:p>
      <w:pPr>
        <w:spacing w:before="0" w:after="80"/>
      </w:pPr>
      <w:r>
        <w:t xml:space="preserve"/>
      </w:r>
    </w:p>
    <w:p>
      <w:pPr>
        <w:pStyle w:val="Heading2"/>
        <w:spacing w:before="240" w:after="100"/>
      </w:pPr>
      <w:r>
        <w:rPr>
          <w:rFonts w:ascii="Arial" w:cs="Arial" w:eastAsia="Arial" w:hAnsi="Arial"/>
          <w:b/>
          <w:bCs/>
          <w:color w:val="2563EB"/>
          <w:sz w:val="26"/>
          <w:szCs w:val="26"/>
        </w:rPr>
        <w:t xml:space="preserve">Scenario-Based Questions to Prepare For</w:t>
      </w:r>
    </w:p>
    <w:p>
      <w:pPr>
        <w:spacing w:before="180" w:after="80"/>
      </w:pPr>
      <w:r>
        <w:rPr>
          <w:rFonts w:ascii="Arial" w:cs="Arial" w:eastAsia="Arial" w:hAnsi="Arial"/>
          <w:b/>
          <w:bCs/>
          <w:color w:val="1B3A6B"/>
          <w:sz w:val="22"/>
          <w:szCs w:val="22"/>
        </w:rPr>
        <w:t xml:space="preserve">You are the statistical lead on a pivotal program. Two weeks before database lock, the CRO flags a systematic ADaM programming error affecting the primary endpoint analysis. What do you do?</w:t>
      </w:r>
    </w:p>
    <w:p>
      <w:pPr>
        <w:pStyle w:val="ListParagraph"/>
        <w:numPr>
          <w:ilvl w:val="0"/>
          <w:numId w:val="2"/>
        </w:numPr>
        <w:spacing w:before="40" w:after="40"/>
      </w:pPr>
      <w:r>
        <w:rPr>
          <w:rFonts w:ascii="Arial" w:cs="Arial" w:eastAsia="Arial" w:hAnsi="Arial"/>
          <w:color w:val="1F2937"/>
          <w:sz w:val="20"/>
          <w:szCs w:val="20"/>
        </w:rPr>
        <w:t xml:space="preserve">Walk through your immediate triage: scope of impact, which analyses are affected, who you notify (stat lead, data management, clinical lead, regulatory affairs)</w:t>
      </w:r>
    </w:p>
    <w:p>
      <w:pPr>
        <w:pStyle w:val="ListParagraph"/>
        <w:numPr>
          <w:ilvl w:val="0"/>
          <w:numId w:val="2"/>
        </w:numPr>
        <w:spacing w:before="40" w:after="40"/>
      </w:pPr>
      <w:r>
        <w:rPr>
          <w:rFonts w:ascii="Arial" w:cs="Arial" w:eastAsia="Arial" w:hAnsi="Arial"/>
          <w:color w:val="1F2937"/>
          <w:sz w:val="20"/>
          <w:szCs w:val="20"/>
        </w:rPr>
        <w:t xml:space="preserve">Describe how you assess whether the lock timeline can hold — what is fixable in the window, what requires a timeline extension</w:t>
      </w:r>
    </w:p>
    <w:p>
      <w:pPr>
        <w:pStyle w:val="ListParagraph"/>
        <w:numPr>
          <w:ilvl w:val="0"/>
          <w:numId w:val="2"/>
        </w:numPr>
        <w:spacing w:before="40" w:after="40"/>
      </w:pPr>
      <w:r>
        <w:rPr>
          <w:rFonts w:ascii="Arial" w:cs="Arial" w:eastAsia="Arial" w:hAnsi="Arial"/>
          <w:color w:val="1F2937"/>
          <w:sz w:val="20"/>
          <w:szCs w:val="20"/>
        </w:rPr>
        <w:t xml:space="preserve">Demonstrate that you own the problem, not just escalate it</w:t>
      </w:r>
    </w:p>
    <w:p>
      <w:pPr>
        <w:spacing w:before="0" w:after="60"/>
      </w:pPr>
      <w:r>
        <w:t xml:space="preserve"/>
      </w:r>
    </w:p>
    <w:p>
      <w:pPr>
        <w:spacing w:before="180" w:after="80"/>
      </w:pPr>
      <w:r>
        <w:rPr>
          <w:rFonts w:ascii="Arial" w:cs="Arial" w:eastAsia="Arial" w:hAnsi="Arial"/>
          <w:b/>
          <w:bCs/>
          <w:color w:val="1B3A6B"/>
          <w:sz w:val="22"/>
          <w:szCs w:val="22"/>
        </w:rPr>
        <w:t xml:space="preserve">A clinical team member strongly disagrees with your proposed primary analysis approach and wants to use a simpler method. The protocol amendment window is closing. How do you handle it?</w:t>
      </w:r>
    </w:p>
    <w:p>
      <w:pPr>
        <w:pStyle w:val="ListParagraph"/>
        <w:numPr>
          <w:ilvl w:val="0"/>
          <w:numId w:val="2"/>
        </w:numPr>
        <w:spacing w:before="40" w:after="40"/>
      </w:pPr>
      <w:r>
        <w:rPr>
          <w:rFonts w:ascii="Arial" w:cs="Arial" w:eastAsia="Arial" w:hAnsi="Arial"/>
          <w:color w:val="1F2937"/>
          <w:sz w:val="20"/>
          <w:szCs w:val="20"/>
        </w:rPr>
        <w:t xml:space="preserve">This is a collaboration and influence question — they want to see that you can hold a methodological position without alienating a cross-functional partner</w:t>
      </w:r>
    </w:p>
    <w:p>
      <w:pPr>
        <w:pStyle w:val="ListParagraph"/>
        <w:numPr>
          <w:ilvl w:val="0"/>
          <w:numId w:val="2"/>
        </w:numPr>
        <w:spacing w:before="40" w:after="40"/>
      </w:pPr>
      <w:r>
        <w:rPr>
          <w:rFonts w:ascii="Arial" w:cs="Arial" w:eastAsia="Arial" w:hAnsi="Arial"/>
          <w:color w:val="1F2937"/>
          <w:sz w:val="20"/>
          <w:szCs w:val="20"/>
        </w:rPr>
        <w:t xml:space="preserve">Frame your answer around data, regulatory alignment, and shared goals — not authority</w:t>
      </w:r>
    </w:p>
    <w:p>
      <w:pPr>
        <w:pStyle w:val="ListParagraph"/>
        <w:numPr>
          <w:ilvl w:val="0"/>
          <w:numId w:val="2"/>
        </w:numPr>
        <w:spacing w:before="40" w:after="40"/>
      </w:pPr>
      <w:r>
        <w:rPr>
          <w:rFonts w:ascii="Arial" w:cs="Arial" w:eastAsia="Arial" w:hAnsi="Arial"/>
          <w:color w:val="1F2937"/>
          <w:sz w:val="20"/>
          <w:szCs w:val="20"/>
        </w:rPr>
        <w:t xml:space="preserve">Show you have done this before: reference a real scenario if possible</w:t>
      </w:r>
    </w:p>
    <w:p>
      <w:pPr>
        <w:spacing w:before="0" w:after="60"/>
      </w:pPr>
      <w:r>
        <w:t xml:space="preserve"/>
      </w:r>
    </w:p>
    <w:p>
      <w:pPr>
        <w:spacing w:before="180" w:after="80"/>
      </w:pPr>
      <w:r>
        <w:rPr>
          <w:rFonts w:ascii="Arial" w:cs="Arial" w:eastAsia="Arial" w:hAnsi="Arial"/>
          <w:b/>
          <w:bCs/>
          <w:color w:val="1B3A6B"/>
          <w:sz w:val="22"/>
          <w:szCs w:val="22"/>
        </w:rPr>
        <w:t xml:space="preserve">You are asked to oversee two CROs simultaneously on parallel programs. Both flag resource constraints in the same week. How do you prioritize?</w:t>
      </w:r>
    </w:p>
    <w:p>
      <w:pPr>
        <w:pStyle w:val="ListParagraph"/>
        <w:numPr>
          <w:ilvl w:val="0"/>
          <w:numId w:val="2"/>
        </w:numPr>
        <w:spacing w:before="40" w:after="40"/>
      </w:pPr>
      <w:r>
        <w:rPr>
          <w:rFonts w:ascii="Arial" w:cs="Arial" w:eastAsia="Arial" w:hAnsi="Arial"/>
          <w:color w:val="1F2937"/>
          <w:sz w:val="20"/>
          <w:szCs w:val="20"/>
        </w:rPr>
        <w:t xml:space="preserve">This is a prioritization and communication question — they want to see operational judgment</w:t>
      </w:r>
    </w:p>
    <w:p>
      <w:pPr>
        <w:pStyle w:val="ListParagraph"/>
        <w:numPr>
          <w:ilvl w:val="0"/>
          <w:numId w:val="2"/>
        </w:numPr>
        <w:spacing w:before="40" w:after="40"/>
      </w:pPr>
      <w:r>
        <w:rPr>
          <w:rFonts w:ascii="Arial" w:cs="Arial" w:eastAsia="Arial" w:hAnsi="Arial"/>
          <w:color w:val="1F2937"/>
          <w:sz w:val="20"/>
          <w:szCs w:val="20"/>
        </w:rPr>
        <w:t xml:space="preserve">Discuss how you assess program criticality (regulatory milestone proximity, lock dates, DMC schedules), communicate transparently with project teams, and engage Apogee leadership when trade-offs require elevation</w:t>
      </w:r>
    </w:p>
    <w:p>
      <w:pPr>
        <w:spacing w:before="0" w:after="80"/>
      </w:pPr>
      <w:r>
        <w:t xml:space="preserve"/>
      </w:r>
    </w:p>
    <w:p>
      <w:pPr>
        <w:pStyle w:val="Heading2"/>
        <w:spacing w:before="240" w:after="100"/>
      </w:pPr>
      <w:r>
        <w:rPr>
          <w:rFonts w:ascii="Arial" w:cs="Arial" w:eastAsia="Arial" w:hAnsi="Arial"/>
          <w:b/>
          <w:bCs/>
          <w:color w:val="2563EB"/>
          <w:sz w:val="26"/>
          <w:szCs w:val="26"/>
        </w:rPr>
        <w:t xml:space="preserve">Tips for Multi-Interviewer Rounds</w:t>
      </w:r>
    </w:p>
    <w:p>
      <w:pPr>
        <w:pStyle w:val="ListParagraph"/>
        <w:numPr>
          <w:ilvl w:val="0"/>
          <w:numId w:val="2"/>
        </w:numPr>
        <w:spacing w:before="40" w:after="40"/>
      </w:pPr>
      <w:r>
        <w:rPr>
          <w:rFonts w:ascii="Arial" w:cs="Arial" w:eastAsia="Arial" w:hAnsi="Arial"/>
          <w:color w:val="1F2937"/>
          <w:sz w:val="20"/>
          <w:szCs w:val="20"/>
        </w:rPr>
        <w:t xml:space="preserve">Address the person who asked, then briefly scan the room — it signals you are aware of the full audience</w:t>
      </w:r>
    </w:p>
    <w:p>
      <w:pPr>
        <w:pStyle w:val="ListParagraph"/>
        <w:numPr>
          <w:ilvl w:val="0"/>
          <w:numId w:val="2"/>
        </w:numPr>
        <w:spacing w:before="40" w:after="40"/>
      </w:pPr>
      <w:r>
        <w:rPr>
          <w:rFonts w:ascii="Arial" w:cs="Arial" w:eastAsia="Arial" w:hAnsi="Arial"/>
          <w:color w:val="1F2937"/>
          <w:sz w:val="20"/>
          <w:szCs w:val="20"/>
        </w:rPr>
        <w:t xml:space="preserve">Do not repeat the same stories verbatim to different interviewers — if you sense they have compared notes, vary the framing</w:t>
      </w:r>
    </w:p>
    <w:p>
      <w:pPr>
        <w:pStyle w:val="ListParagraph"/>
        <w:numPr>
          <w:ilvl w:val="0"/>
          <w:numId w:val="2"/>
        </w:numPr>
        <w:spacing w:before="40" w:after="40"/>
      </w:pPr>
      <w:r>
        <w:rPr>
          <w:rFonts w:ascii="Arial" w:cs="Arial" w:eastAsia="Arial" w:hAnsi="Arial"/>
          <w:color w:val="1F2937"/>
          <w:sz w:val="20"/>
          <w:szCs w:val="20"/>
        </w:rPr>
        <w:t xml:space="preserve">When you do not know something, say so clearly and describe how you would find out — it is more credible than bluffing</w:t>
      </w:r>
    </w:p>
    <w:p>
      <w:pPr>
        <w:pStyle w:val="ListParagraph"/>
        <w:numPr>
          <w:ilvl w:val="0"/>
          <w:numId w:val="2"/>
        </w:numPr>
        <w:spacing w:before="40" w:after="40"/>
      </w:pPr>
      <w:r>
        <w:rPr>
          <w:rFonts w:ascii="Arial" w:cs="Arial" w:eastAsia="Arial" w:hAnsi="Arial"/>
          <w:color w:val="1F2937"/>
          <w:sz w:val="20"/>
          <w:szCs w:val="20"/>
        </w:rPr>
        <w:t xml:space="preserve">Bring a notepad and take brief notes — it signals engagement and helps you ask smarter follow-up questions</w:t>
      </w:r>
    </w:p>
    <w:p>
      <w:pPr>
        <w:pStyle w:val="ListParagraph"/>
        <w:numPr>
          <w:ilvl w:val="0"/>
          <w:numId w:val="2"/>
        </w:numPr>
        <w:spacing w:before="40" w:after="40"/>
      </w:pPr>
      <w:r>
        <w:rPr>
          <w:rFonts w:ascii="Arial" w:cs="Arial" w:eastAsia="Arial" w:hAnsi="Arial"/>
          <w:color w:val="1F2937"/>
          <w:sz w:val="20"/>
          <w:szCs w:val="20"/>
        </w:rPr>
        <w:t xml:space="preserve">Close each interview segment with a direct statement of interest: I am genuinely excited about what Apogee is building. I would love the opportunity to contribute to it.</w:t>
      </w:r>
    </w:p>
    <w:p>
      <w:pPr>
        <w:spacing w:before="0" w:after="40"/>
      </w:pPr>
      <w:r>
        <w:t xml:space="preserve"/>
      </w:r>
    </w:p>
    <w:p>
      <w:r>
        <w:br w:type="page"/>
      </w:r>
    </w:p>
    <w:p>
      <w:pPr>
        <w:pStyle w:val="Heading1"/>
        <w:pBdr>
          <w:bottom w:val="single" w:color="2563EB" w:sz="6" w:space="6"/>
        </w:pBdr>
        <w:spacing w:before="360" w:after="120"/>
      </w:pPr>
      <w:r>
        <w:rPr>
          <w:rFonts w:ascii="Arial" w:cs="Arial" w:eastAsia="Arial" w:hAnsi="Arial"/>
          <w:b/>
          <w:bCs/>
          <w:color w:val="1B3A6B"/>
          <w:sz w:val="32"/>
          <w:szCs w:val="32"/>
        </w:rPr>
        <w:t xml:space="preserve">6. Culture &amp; Company Fit</w:t>
      </w:r>
    </w:p>
    <w:p>
      <w:pPr>
        <w:spacing w:before="0" w:after="40"/>
      </w:pPr>
      <w:r>
        <w:t xml:space="preserve"/>
      </w:r>
    </w:p>
    <w:p>
      <w:pPr>
        <w:spacing w:before="60" w:after="60"/>
      </w:pPr>
      <w:r>
        <w:rPr>
          <w:rFonts w:ascii="Arial" w:cs="Arial" w:eastAsia="Arial" w:hAnsi="Arial"/>
          <w:color w:val="1F2937"/>
          <w:sz w:val="20"/>
          <w:szCs w:val="20"/>
        </w:rPr>
        <w:t xml:space="preserve">Apogee explicitly names their C.O.R.E. values in the job description and on every page of their website. This is not boilerplate — it is a deliberate signal that culture is a screening criterion. Weave these values into your stories naturally; do not recite them.</w:t>
      </w:r>
    </w:p>
    <w:p>
      <w:pPr>
        <w:spacing w:before="0" w:after="80"/>
      </w:pPr>
      <w:r>
        <w:t xml:space="preserve"/>
      </w:r>
    </w:p>
    <w:p>
      <w:pPr>
        <w:pStyle w:val="Heading2"/>
        <w:spacing w:before="240" w:after="100"/>
      </w:pPr>
      <w:r>
        <w:rPr>
          <w:rFonts w:ascii="Arial" w:cs="Arial" w:eastAsia="Arial" w:hAnsi="Arial"/>
          <w:b/>
          <w:bCs/>
          <w:color w:val="2563EB"/>
          <w:sz w:val="26"/>
          <w:szCs w:val="26"/>
        </w:rPr>
        <w:t xml:space="preserve">C.O.R.E. Values — And How You Embody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6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How to Connect It to Your Experience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Caring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Your collaborative approach to cross-functional teams; your investment in CRO relationships and vendor development over time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Original</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Your use of simulation-based decision-making; your experience with adaptive and Bayesian methods; any novel analytical frameworks you have introduced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Resilient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Navigating a company-wide restructuring at Kyverna; delivering pivotal CSRs under compressed timelines; managing CRO quality failures without missing milestones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Egoless</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Your willingness to present to non-statisticians and adapt your communication style; examples of changing your position when presented with better data or regulatory guidance</w:t>
            </w:r>
          </w:p>
        </w:tc>
      </w:tr>
    </w:tbl>
    <w:p>
      <w:pPr>
        <w:spacing w:before="0" w:after="80"/>
      </w:pPr>
      <w:r>
        <w:t xml:space="preserve"/>
      </w:r>
    </w:p>
    <w:p>
      <w:pPr>
        <w:pStyle w:val="Heading2"/>
        <w:spacing w:before="240" w:after="100"/>
      </w:pPr>
      <w:r>
        <w:rPr>
          <w:rFonts w:ascii="Arial" w:cs="Arial" w:eastAsia="Arial" w:hAnsi="Arial"/>
          <w:b/>
          <w:bCs/>
          <w:color w:val="2563EB"/>
          <w:sz w:val="26"/>
          <w:szCs w:val="26"/>
        </w:rPr>
        <w:t xml:space="preserve">Apogee Company Context — Know This Before You Walk In</w:t>
      </w:r>
    </w:p>
    <w:p>
      <w:pPr>
        <w:pStyle w:val="ListParagraph"/>
        <w:numPr>
          <w:ilvl w:val="0"/>
          <w:numId w:val="2"/>
        </w:numPr>
        <w:spacing w:before="40" w:after="40"/>
      </w:pPr>
      <w:r>
        <w:rPr>
          <w:rFonts w:ascii="Arial" w:cs="Arial" w:eastAsia="Arial" w:hAnsi="Arial"/>
          <w:color w:val="1F2937"/>
          <w:sz w:val="20"/>
          <w:szCs w:val="20"/>
        </w:rPr>
        <w:t xml:space="preserve">Founded 2022; Nasdaq-listed (APGE); well-capitalized with a clear Phase 3 runway</w:t>
      </w:r>
    </w:p>
    <w:p>
      <w:pPr>
        <w:pStyle w:val="ListParagraph"/>
        <w:numPr>
          <w:ilvl w:val="0"/>
          <w:numId w:val="2"/>
        </w:numPr>
        <w:spacing w:before="40" w:after="40"/>
      </w:pPr>
      <w:r>
        <w:rPr>
          <w:rFonts w:ascii="Arial" w:cs="Arial" w:eastAsia="Arial" w:hAnsi="Arial"/>
          <w:color w:val="1F2937"/>
          <w:sz w:val="20"/>
          <w:szCs w:val="20"/>
        </w:rPr>
        <w:t xml:space="preserve">Lead program: zumilokibart (APG777) for atopic dermatitis and asthma — in active Phase 2/3 development</w:t>
      </w:r>
    </w:p>
    <w:p>
      <w:pPr>
        <w:pStyle w:val="ListParagraph"/>
        <w:numPr>
          <w:ilvl w:val="0"/>
          <w:numId w:val="2"/>
        </w:numPr>
        <w:spacing w:before="40" w:after="40"/>
      </w:pPr>
      <w:r>
        <w:rPr>
          <w:rFonts w:ascii="Arial" w:cs="Arial" w:eastAsia="Arial" w:hAnsi="Arial"/>
          <w:color w:val="1F2937"/>
          <w:sz w:val="20"/>
          <w:szCs w:val="20"/>
        </w:rPr>
        <w:t xml:space="preserve">Four validated I&amp;I targets in the pipeline; antibody engineering focus with half-life optimization</w:t>
      </w:r>
    </w:p>
    <w:p>
      <w:pPr>
        <w:pStyle w:val="ListParagraph"/>
        <w:numPr>
          <w:ilvl w:val="0"/>
          <w:numId w:val="2"/>
        </w:numPr>
        <w:spacing w:before="40" w:after="40"/>
      </w:pPr>
      <w:r>
        <w:rPr>
          <w:rFonts w:ascii="Arial" w:cs="Arial" w:eastAsia="Arial" w:hAnsi="Arial"/>
          <w:color w:val="1F2937"/>
          <w:sz w:val="20"/>
          <w:szCs w:val="20"/>
        </w:rPr>
        <w:t xml:space="preserve">Remote-first culture with in-person All Hands twice per year and key Phase 3 meetings in San Francisco</w:t>
      </w:r>
    </w:p>
    <w:p>
      <w:pPr>
        <w:pStyle w:val="ListParagraph"/>
        <w:numPr>
          <w:ilvl w:val="0"/>
          <w:numId w:val="2"/>
        </w:numPr>
        <w:spacing w:before="40" w:after="40"/>
      </w:pPr>
      <w:r>
        <w:rPr>
          <w:rFonts w:ascii="Arial" w:cs="Arial" w:eastAsia="Arial" w:hAnsi="Arial"/>
          <w:color w:val="1F2937"/>
          <w:sz w:val="20"/>
          <w:szCs w:val="20"/>
        </w:rPr>
        <w:t xml:space="preserve">Small, high-performance team — you will have real influence on how the biometrics function is built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60" w:after="80"/>
            </w:pPr>
            <w:r>
              <w:rPr>
                <w:rFonts w:ascii="Arial" w:cs="Arial" w:eastAsia="Arial" w:hAnsi="Arial"/>
                <w:b/>
                <w:bCs/>
                <w:color w:val="1B3A6B"/>
                <w:sz w:val="22"/>
                <w:szCs w:val="22"/>
              </w:rPr>
              <w:t xml:space="preserve">The Narrative That Will Resonate at Apogee</w:t>
            </w:r>
          </w:p>
          <w:p>
            <w:pPr>
              <w:pStyle w:val="ListParagraph"/>
              <w:numPr>
                <w:ilvl w:val="0"/>
                <w:numId w:val="2"/>
              </w:numPr>
              <w:spacing w:before="40" w:after="40"/>
            </w:pPr>
            <w:r>
              <w:rPr>
                <w:rFonts w:ascii="Arial" w:cs="Arial" w:eastAsia="Arial" w:hAnsi="Arial"/>
                <w:color w:val="1F2937"/>
                <w:sz w:val="20"/>
                <w:szCs w:val="20"/>
              </w:rPr>
              <w:t xml:space="preserve">You are not looking for your next job. You are looking for the place where your statistical and regulatory experience from BLA-track programs translates directly into Phase 3 pivotal success for a pipeline that could meaningfully help patients with chronic, undertreated inflammatory diseases.</w:t>
            </w:r>
          </w:p>
          <w:p>
            <w:pPr>
              <w:pStyle w:val="ListParagraph"/>
              <w:numPr>
                <w:ilvl w:val="0"/>
                <w:numId w:val="2"/>
              </w:numPr>
              <w:spacing w:before="40" w:after="40"/>
            </w:pPr>
            <w:r>
              <w:rPr>
                <w:rFonts w:ascii="Arial" w:cs="Arial" w:eastAsia="Arial" w:hAnsi="Arial"/>
                <w:color w:val="1F2937"/>
                <w:sz w:val="20"/>
                <w:szCs w:val="20"/>
              </w:rPr>
              <w:t xml:space="preserve">Your autoimmune experience is not incidental — it is the center of your career. Apogee sits exactly in that lane.</w:t>
            </w:r>
          </w:p>
          <w:p>
            <w:pPr>
              <w:pStyle w:val="ListParagraph"/>
              <w:numPr>
                <w:ilvl w:val="0"/>
                <w:numId w:val="2"/>
              </w:numPr>
              <w:spacing w:before="40" w:after="40"/>
            </w:pPr>
            <w:r>
              <w:rPr>
                <w:rFonts w:ascii="Arial" w:cs="Arial" w:eastAsia="Arial" w:hAnsi="Arial"/>
                <w:color w:val="1F2937"/>
                <w:sz w:val="20"/>
                <w:szCs w:val="20"/>
              </w:rPr>
              <w:t xml:space="preserve">You have done the hard work: pivotal SAPs, CRO management under pressure, DMC support, regulatory submissions. You want to do it in an environment where the science is excellent and the culture rewards precision and accountability.</w:t>
            </w:r>
          </w:p>
        </w:tc>
      </w:tr>
    </w:tbl>
    <w:p>
      <w:pPr>
        <w:spacing w:before="0" w:after="40"/>
      </w:pPr>
      <w:r>
        <w:t xml:space="preserve"/>
      </w:r>
    </w:p>
    <w:p>
      <w:r>
        <w:br w:type="page"/>
      </w:r>
    </w:p>
    <w:p>
      <w:pPr>
        <w:pStyle w:val="Heading1"/>
        <w:pBdr>
          <w:bottom w:val="single" w:color="2563EB" w:sz="6" w:space="6"/>
        </w:pBdr>
        <w:spacing w:before="360" w:after="120"/>
      </w:pPr>
      <w:r>
        <w:rPr>
          <w:rFonts w:ascii="Arial" w:cs="Arial" w:eastAsia="Arial" w:hAnsi="Arial"/>
          <w:b/>
          <w:bCs/>
          <w:color w:val="1B3A6B"/>
          <w:sz w:val="32"/>
          <w:szCs w:val="32"/>
        </w:rPr>
        <w:t xml:space="preserve">7. Curated Questions to Ask at Each Stage</w:t>
      </w:r>
    </w:p>
    <w:p>
      <w:pPr>
        <w:spacing w:before="0" w:after="40"/>
      </w:pPr>
      <w:r>
        <w:t xml:space="preserve"/>
      </w:r>
    </w:p>
    <w:p>
      <w:pPr>
        <w:spacing w:before="60" w:after="60"/>
      </w:pPr>
      <w:r>
        <w:rPr>
          <w:rFonts w:ascii="Arial" w:cs="Arial" w:eastAsia="Arial" w:hAnsi="Arial"/>
          <w:color w:val="1F2937"/>
          <w:sz w:val="20"/>
          <w:szCs w:val="20"/>
        </w:rPr>
        <w:t xml:space="preserve">Asking sharp, specific questions is one of the strongest signals a candidate can send. These are curated for Baodong's background and Apogee's context. Select two to three per round — do not read from a list.</w:t>
      </w:r>
    </w:p>
    <w:p>
      <w:pPr>
        <w:spacing w:before="0" w:after="80"/>
      </w:pPr>
      <w:r>
        <w:t xml:space="preserve"/>
      </w:r>
    </w:p>
    <w:p>
      <w:pPr>
        <w:pStyle w:val="Heading2"/>
        <w:spacing w:before="240" w:after="100"/>
      </w:pPr>
      <w:r>
        <w:rPr>
          <w:rFonts w:ascii="Arial" w:cs="Arial" w:eastAsia="Arial" w:hAnsi="Arial"/>
          <w:b/>
          <w:bCs/>
          <w:color w:val="2563EB"/>
          <w:sz w:val="26"/>
          <w:szCs w:val="26"/>
        </w:rPr>
        <w:t xml:space="preserve">HR / Talent Acquisition Screen</w:t>
      </w:r>
    </w:p>
    <w:p>
      <w:pPr>
        <w:pStyle w:val="ListParagraph"/>
        <w:numPr>
          <w:ilvl w:val="0"/>
          <w:numId w:val="2"/>
        </w:numPr>
        <w:spacing w:before="40" w:after="40"/>
      </w:pPr>
      <w:r>
        <w:rPr>
          <w:rFonts w:ascii="Arial" w:cs="Arial" w:eastAsia="Arial" w:hAnsi="Arial"/>
          <w:color w:val="1F2937"/>
          <w:sz w:val="20"/>
          <w:szCs w:val="20"/>
        </w:rPr>
        <w:t xml:space="preserve">Can you share more about how the biostatistics function is structured today — how many people are on the team, and is this a backfill or a net new hire?</w:t>
      </w:r>
    </w:p>
    <w:p>
      <w:pPr>
        <w:pStyle w:val="ListParagraph"/>
        <w:numPr>
          <w:ilvl w:val="0"/>
          <w:numId w:val="2"/>
        </w:numPr>
        <w:spacing w:before="40" w:after="40"/>
      </w:pPr>
      <w:r>
        <w:rPr>
          <w:rFonts w:ascii="Arial" w:cs="Arial" w:eastAsia="Arial" w:hAnsi="Arial"/>
          <w:color w:val="1F2937"/>
          <w:sz w:val="20"/>
          <w:szCs w:val="20"/>
        </w:rPr>
        <w:t xml:space="preserve">What does the interview process look like from here, and who else would I be meeting with?</w:t>
      </w:r>
    </w:p>
    <w:p>
      <w:pPr>
        <w:pStyle w:val="ListParagraph"/>
        <w:numPr>
          <w:ilvl w:val="0"/>
          <w:numId w:val="2"/>
        </w:numPr>
        <w:spacing w:before="40" w:after="40"/>
      </w:pPr>
      <w:r>
        <w:rPr>
          <w:rFonts w:ascii="Arial" w:cs="Arial" w:eastAsia="Arial" w:hAnsi="Arial"/>
          <w:color w:val="1F2937"/>
          <w:sz w:val="20"/>
          <w:szCs w:val="20"/>
        </w:rPr>
        <w:t xml:space="preserve">Are there specific programs or milestones driving the urgency of this search?</w:t>
      </w:r>
    </w:p>
    <w:p>
      <w:pPr>
        <w:spacing w:before="0" w:after="80"/>
      </w:pPr>
      <w:r>
        <w:t xml:space="preserve"/>
      </w:r>
    </w:p>
    <w:p>
      <w:pPr>
        <w:pStyle w:val="Heading2"/>
        <w:spacing w:before="240" w:after="100"/>
      </w:pPr>
      <w:r>
        <w:rPr>
          <w:rFonts w:ascii="Arial" w:cs="Arial" w:eastAsia="Arial" w:hAnsi="Arial"/>
          <w:b/>
          <w:bCs/>
          <w:color w:val="2563EB"/>
          <w:sz w:val="26"/>
          <w:szCs w:val="26"/>
        </w:rPr>
        <w:t xml:space="preserve">Hiring Manager</w:t>
      </w:r>
    </w:p>
    <w:p>
      <w:pPr>
        <w:pStyle w:val="ListParagraph"/>
        <w:numPr>
          <w:ilvl w:val="0"/>
          <w:numId w:val="2"/>
        </w:numPr>
        <w:spacing w:before="40" w:after="40"/>
      </w:pPr>
      <w:r>
        <w:rPr>
          <w:rFonts w:ascii="Arial" w:cs="Arial" w:eastAsia="Arial" w:hAnsi="Arial"/>
          <w:color w:val="1F2937"/>
          <w:sz w:val="20"/>
          <w:szCs w:val="20"/>
        </w:rPr>
        <w:t xml:space="preserve">What are the one or two biggest statistical challenges the team is navigating right now in the APG777 program?</w:t>
      </w:r>
    </w:p>
    <w:p>
      <w:pPr>
        <w:pStyle w:val="ListParagraph"/>
        <w:numPr>
          <w:ilvl w:val="0"/>
          <w:numId w:val="2"/>
        </w:numPr>
        <w:spacing w:before="40" w:after="40"/>
      </w:pPr>
      <w:r>
        <w:rPr>
          <w:rFonts w:ascii="Arial" w:cs="Arial" w:eastAsia="Arial" w:hAnsi="Arial"/>
          <w:color w:val="1F2937"/>
          <w:sz w:val="20"/>
          <w:szCs w:val="20"/>
        </w:rPr>
        <w:t xml:space="preserve">How does the AD bio stat lead interface with the regulatory team — is there direct FDA meeting participation?</w:t>
      </w:r>
    </w:p>
    <w:p>
      <w:pPr>
        <w:pStyle w:val="ListParagraph"/>
        <w:numPr>
          <w:ilvl w:val="0"/>
          <w:numId w:val="2"/>
        </w:numPr>
        <w:spacing w:before="40" w:after="40"/>
      </w:pPr>
      <w:r>
        <w:rPr>
          <w:rFonts w:ascii="Arial" w:cs="Arial" w:eastAsia="Arial" w:hAnsi="Arial"/>
          <w:color w:val="1F2937"/>
          <w:sz w:val="20"/>
          <w:szCs w:val="20"/>
        </w:rPr>
        <w:t xml:space="preserve">What does the CRO landscape look like today — are you working with preferred vendors, or does the stat lead have input on CRO selection?</w:t>
      </w:r>
    </w:p>
    <w:p>
      <w:pPr>
        <w:pStyle w:val="ListParagraph"/>
        <w:numPr>
          <w:ilvl w:val="0"/>
          <w:numId w:val="2"/>
        </w:numPr>
        <w:spacing w:before="40" w:after="40"/>
      </w:pPr>
      <w:r>
        <w:rPr>
          <w:rFonts w:ascii="Arial" w:cs="Arial" w:eastAsia="Arial" w:hAnsi="Arial"/>
          <w:color w:val="1F2937"/>
          <w:sz w:val="20"/>
          <w:szCs w:val="20"/>
        </w:rPr>
        <w:t xml:space="preserve">How would you describe the decision-making culture when there is a disagreement between statistical rigor and operational feasibility?</w:t>
      </w:r>
    </w:p>
    <w:p>
      <w:pPr>
        <w:pStyle w:val="ListParagraph"/>
        <w:numPr>
          <w:ilvl w:val="0"/>
          <w:numId w:val="2"/>
        </w:numPr>
        <w:spacing w:before="40" w:after="40"/>
      </w:pPr>
      <w:r>
        <w:rPr>
          <w:rFonts w:ascii="Arial" w:cs="Arial" w:eastAsia="Arial" w:hAnsi="Arial"/>
          <w:color w:val="1F2937"/>
          <w:sz w:val="20"/>
          <w:szCs w:val="20"/>
        </w:rPr>
        <w:t xml:space="preserve">What would make someone in this role genuinely successful in year one versus just adequate?</w:t>
      </w:r>
    </w:p>
    <w:p>
      <w:pPr>
        <w:spacing w:before="0" w:after="80"/>
      </w:pPr>
      <w:r>
        <w:t xml:space="preserve"/>
      </w:r>
    </w:p>
    <w:p>
      <w:pPr>
        <w:pStyle w:val="Heading2"/>
        <w:spacing w:before="240" w:after="100"/>
      </w:pPr>
      <w:r>
        <w:rPr>
          <w:rFonts w:ascii="Arial" w:cs="Arial" w:eastAsia="Arial" w:hAnsi="Arial"/>
          <w:b/>
          <w:bCs/>
          <w:color w:val="2563EB"/>
          <w:sz w:val="26"/>
          <w:szCs w:val="26"/>
        </w:rPr>
        <w:t xml:space="preserve">Panel / Final Round</w:t>
      </w:r>
    </w:p>
    <w:p>
      <w:pPr>
        <w:pStyle w:val="ListParagraph"/>
        <w:numPr>
          <w:ilvl w:val="0"/>
          <w:numId w:val="2"/>
        </w:numPr>
        <w:spacing w:before="40" w:after="40"/>
      </w:pPr>
      <w:r>
        <w:rPr>
          <w:rFonts w:ascii="Arial" w:cs="Arial" w:eastAsia="Arial" w:hAnsi="Arial"/>
          <w:color w:val="1F2937"/>
          <w:sz w:val="20"/>
          <w:szCs w:val="20"/>
        </w:rPr>
        <w:t xml:space="preserve">To the Clinical Lead: How do you think about the stat lead's role in endpoint selection during Phase 3 protocol development — is that an active partnership or more advisory?</w:t>
      </w:r>
    </w:p>
    <w:p>
      <w:pPr>
        <w:pStyle w:val="ListParagraph"/>
        <w:numPr>
          <w:ilvl w:val="0"/>
          <w:numId w:val="2"/>
        </w:numPr>
        <w:spacing w:before="40" w:after="40"/>
      </w:pPr>
      <w:r>
        <w:rPr>
          <w:rFonts w:ascii="Arial" w:cs="Arial" w:eastAsia="Arial" w:hAnsi="Arial"/>
          <w:color w:val="1F2937"/>
          <w:sz w:val="20"/>
          <w:szCs w:val="20"/>
        </w:rPr>
        <w:t xml:space="preserve">To the Regulatory Lead: How has the regulatory team engaged with FDA on statistical methodology for the lead programs — any areas where you expect active dialogue?</w:t>
      </w:r>
    </w:p>
    <w:p>
      <w:pPr>
        <w:pStyle w:val="ListParagraph"/>
        <w:numPr>
          <w:ilvl w:val="0"/>
          <w:numId w:val="2"/>
        </w:numPr>
        <w:spacing w:before="40" w:after="40"/>
      </w:pPr>
      <w:r>
        <w:rPr>
          <w:rFonts w:ascii="Arial" w:cs="Arial" w:eastAsia="Arial" w:hAnsi="Arial"/>
          <w:color w:val="1F2937"/>
          <w:sz w:val="20"/>
          <w:szCs w:val="20"/>
        </w:rPr>
        <w:t xml:space="preserve">To the People Partner: How does Apogee support the professional development of the biometrics team — conferences, internal mobility, external collaborations?</w:t>
      </w:r>
    </w:p>
    <w:p>
      <w:pPr>
        <w:pStyle w:val="ListParagraph"/>
        <w:numPr>
          <w:ilvl w:val="0"/>
          <w:numId w:val="2"/>
        </w:numPr>
        <w:spacing w:before="40" w:after="40"/>
      </w:pPr>
      <w:r>
        <w:rPr>
          <w:rFonts w:ascii="Arial" w:cs="Arial" w:eastAsia="Arial" w:hAnsi="Arial"/>
          <w:color w:val="1F2937"/>
          <w:sz w:val="20"/>
          <w:szCs w:val="20"/>
        </w:rPr>
        <w:t xml:space="preserve">To any panelist: What is the thing you are most excited about at Apogee right now?</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60" w:after="80"/>
            </w:pPr>
            <w:r>
              <w:rPr>
                <w:rFonts w:ascii="Arial" w:cs="Arial" w:eastAsia="Arial" w:hAnsi="Arial"/>
                <w:b/>
                <w:bCs/>
                <w:color w:val="1B3A6B"/>
                <w:sz w:val="22"/>
                <w:szCs w:val="22"/>
              </w:rPr>
              <w:t xml:space="preserve">Final Coaching Note from GQR</w:t>
            </w:r>
          </w:p>
          <w:p>
            <w:pPr>
              <w:pStyle w:val="ListParagraph"/>
              <w:numPr>
                <w:ilvl w:val="0"/>
                <w:numId w:val="2"/>
              </w:numPr>
              <w:spacing w:before="40" w:after="40"/>
            </w:pPr>
            <w:r>
              <w:rPr>
                <w:rFonts w:ascii="Arial" w:cs="Arial" w:eastAsia="Arial" w:hAnsi="Arial"/>
                <w:color w:val="1F2937"/>
                <w:sz w:val="20"/>
                <w:szCs w:val="20"/>
              </w:rPr>
              <w:t xml:space="preserve">Baodong, you are one of the strongest candidates in this search. Your BLA-track immunology experience is directly matched to where Apogee is heading, and your combination of technical depth and cross-functional leadership is exactly what a scaling biotech needs from a stat lead.</w:t>
            </w:r>
          </w:p>
          <w:p>
            <w:pPr>
              <w:pStyle w:val="ListParagraph"/>
              <w:numPr>
                <w:ilvl w:val="0"/>
                <w:numId w:val="2"/>
              </w:numPr>
              <w:spacing w:before="40" w:after="40"/>
            </w:pPr>
            <w:r>
              <w:rPr>
                <w:rFonts w:ascii="Arial" w:cs="Arial" w:eastAsia="Arial" w:hAnsi="Arial"/>
                <w:color w:val="1F2937"/>
                <w:sz w:val="20"/>
                <w:szCs w:val="20"/>
              </w:rPr>
              <w:t xml:space="preserve">The title conversation may come up — handle it with confidence, not defensiveness. The real story here is scope, science, and the opportunity to be part of something meaningful.</w:t>
            </w:r>
          </w:p>
          <w:p>
            <w:pPr>
              <w:pStyle w:val="ListParagraph"/>
              <w:numPr>
                <w:ilvl w:val="0"/>
                <w:numId w:val="2"/>
              </w:numPr>
              <w:spacing w:before="40" w:after="40"/>
            </w:pPr>
            <w:r>
              <w:rPr>
                <w:rFonts w:ascii="Arial" w:cs="Arial" w:eastAsia="Arial" w:hAnsi="Arial"/>
                <w:color w:val="1F2937"/>
                <w:sz w:val="20"/>
                <w:szCs w:val="20"/>
              </w:rPr>
              <w:t xml:space="preserve">If you have questions at any point before or after any round, reach out directly. We are in this with you.</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2026-03-11T19:55:06.229Z</dcterms:created>
  <dcterms:modified xsi:type="dcterms:W3CDTF">2026-03-11T19:55:06.230Z</dcterms:modified>
</cp:coreProperties>
</file>

<file path=docProps/custom.xml><?xml version="1.0" encoding="utf-8"?>
<Properties xmlns="http://schemas.openxmlformats.org/officeDocument/2006/custom-properties" xmlns:vt="http://schemas.openxmlformats.org/officeDocument/2006/docPropsVTypes"/>
</file>