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4F8C" w:val="clear"/>
            <w:tcMar>
              <w:top w:type="dxa" w:w="300"/>
              <w:left w:type="dxa" w:w="360"/>
              <w:bottom w:type="dxa" w:w="300"/>
              <w:right w:type="dxa" w:w="360"/>
            </w:tcMar>
          </w:tcPr>
          <w:p>
            <w:pPr>
              <w:spacing w:before="0" w:after="60"/>
              <w:jc w:val="left"/>
            </w:pPr>
            <w:r>
              <w:rPr>
                <w:rFonts w:ascii="Arial" w:cs="Arial" w:eastAsia="Arial" w:hAnsi="Arial"/>
                <w:b/>
                <w:bCs/>
                <w:color w:val="FFFFFF"/>
                <w:sz w:val="28"/>
                <w:szCs w:val="28"/>
              </w:rPr>
              <w:t xml:space="preserve">INTERVIEW PREPARATION GUIDE</w:t>
            </w:r>
          </w:p>
          <w:p>
            <w:pPr>
              <w:spacing w:before="0" w:after="60"/>
              <w:jc w:val="left"/>
            </w:pPr>
            <w:r>
              <w:rPr>
                <w:rFonts w:ascii="Arial" w:cs="Arial" w:eastAsia="Arial" w:hAnsi="Arial"/>
                <w:color w:val="D0E8FF"/>
                <w:sz w:val="22"/>
                <w:szCs w:val="22"/>
              </w:rPr>
              <w:t xml:space="preserve">Kristi O'Rorke  |  Vendor Oversight Manager (Contractor)</w:t>
            </w:r>
          </w:p>
          <w:p>
            <w:pPr>
              <w:spacing w:before="0" w:after="0"/>
              <w:jc w:val="left"/>
            </w:pPr>
            <w:r>
              <w:rPr>
                <w:rFonts w:ascii="Arial" w:cs="Arial" w:eastAsia="Arial" w:hAnsi="Arial"/>
                <w:i/>
                <w:iCs/>
                <w:color w:val="A0C8F0"/>
                <w:sz w:val="18"/>
                <w:szCs w:val="18"/>
              </w:rPr>
              <w:t xml:space="preserve">Structure Therapeutics  |  March 2026  |  Confidential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A" w:val="clear"/>
            <w:tcMar>
              <w:top w:type="dxa" w:w="120"/>
              <w:left w:type="dxa" w:w="180"/>
              <w:bottom w:type="dxa" w:w="120"/>
              <w:right w:type="dxa" w:w="180"/>
            </w:tcMar>
          </w:tcPr>
          <w:p>
            <w:pPr>
              <w:spacing w:before="40" w:after="40"/>
            </w:pPr>
            <w:r>
              <w:rPr>
                <w:rFonts w:ascii="Arial" w:cs="Arial" w:eastAsia="Arial" w:hAnsi="Arial"/>
                <w:b/>
                <w:bCs/>
                <w:color w:val="1B4F8C"/>
                <w:sz w:val="20"/>
                <w:szCs w:val="20"/>
              </w:rPr>
              <w:t xml:space="preserve">A note from Bryan: </w:t>
            </w:r>
            <w:r>
              <w:rPr>
                <w:rFonts w:ascii="Arial" w:cs="Arial" w:eastAsia="Arial" w:hAnsi="Arial"/>
                <w:i/>
                <w:iCs/>
                <w:color w:val="1A1A2E"/>
                <w:sz w:val="20"/>
                <w:szCs w:val="20"/>
              </w:rPr>
              <w:t xml:space="preserve">Kristi — this document is built specifically for you and this role. I've mapped your experience directly to what Structure needs, flagged every likely area of deep-dive, and given you ready-to-use STAR frameworks so you walk in with stories, not talking points. Read it once, then come back to the sections that feel least natural. You are exceptionally well-suited for this role — let's make sure that comes across.</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B4F8C"/>
          <w:sz w:val="28"/>
          <w:szCs w:val="28"/>
        </w:rPr>
        <w:t xml:space="preserve">1. ROLE OVERVIEW &amp; KEY THEMES</w:t>
      </w:r>
    </w:p>
    <w:p>
      <w:pPr>
        <w:pStyle w:val="Heading2"/>
        <w:spacing w:before="280" w:after="80"/>
      </w:pPr>
      <w:r>
        <w:rPr>
          <w:rFonts w:ascii="Arial" w:cs="Arial" w:eastAsia="Arial" w:hAnsi="Arial"/>
          <w:b/>
          <w:bCs/>
          <w:color w:val="2E75B6"/>
          <w:sz w:val="24"/>
          <w:szCs w:val="24"/>
        </w:rPr>
        <w:t xml:space="preserve">What Structure Is Actually Hiring For</w:t>
      </w:r>
    </w:p>
    <w:p>
      <w:pPr>
        <w:spacing w:before="60" w:after="60"/>
      </w:pPr>
      <w:r>
        <w:rPr>
          <w:rFonts w:ascii="Arial" w:cs="Arial" w:eastAsia="Arial" w:hAnsi="Arial"/>
          <w:b w:val="false"/>
          <w:bCs w:val="false"/>
          <w:i w:val="false"/>
          <w:iCs w:val="false"/>
          <w:color w:val="1A1A2E"/>
          <w:sz w:val="20"/>
          <w:szCs w:val="20"/>
        </w:rPr>
        <w:t xml:space="preserve">The title says Vendor Oversight Manager, but the subtext is infrastructure builder. Structure is a lean, fast-scaling biotech and they don't have a Vendor Governance program yet — or if they do, it's embryonic. This role exists to design and own that function from the ground up. The person they hire needs to be operationally credible enough to build it, and commercially sharp enough to manage CRO relationships with teeth. That's a rare combination, and it's exactly what your background delivers.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Company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 Therapeutics — clinical-stage biotech advancing oral GLP-1 programs with strong Phase 3 momentum in the metabolic disease space.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Why This Role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Clinical programs are scaling. They need formal vendor governance infrastructure in place before complexity outpaces oversight capacity.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Work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Primarily on-site in San Francisco, 4 days/week. Remote consideration available for the right candidate.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Engagement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Contract. $120–$130/hr. W2 or 1099 both accepted.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Hiring Manager Intel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Hadley Taillefer, Director of Clinical Operations, is your most likely interview counterpart. She came up through ops excellence at Sarepta and Premier Research — she will speak your language and will probe deeply on process and infrastructure build.</w:t>
            </w:r>
          </w:p>
        </w:tc>
      </w:tr>
    </w:tbl>
    <w:p>
      <w:pPr>
        <w:spacing w:before="100" w:after="0"/>
      </w:pPr>
      <w:r>
        <w:t xml:space="preserve"/>
      </w:r>
    </w:p>
    <w:p>
      <w:pPr>
        <w:pStyle w:val="Heading2"/>
        <w:spacing w:before="280" w:after="80"/>
      </w:pPr>
      <w:r>
        <w:rPr>
          <w:rFonts w:ascii="Arial" w:cs="Arial" w:eastAsia="Arial" w:hAnsi="Arial"/>
          <w:b/>
          <w:bCs/>
          <w:color w:val="2E75B6"/>
          <w:sz w:val="24"/>
          <w:szCs w:val="24"/>
        </w:rPr>
        <w:t xml:space="preserve">Key Themes Across All Interview Rounds</w:t>
      </w:r>
    </w:p>
    <w:p>
      <w:pPr>
        <w:pStyle w:val="ListParagraph"/>
        <w:numPr>
          <w:ilvl w:val="0"/>
          <w:numId w:val="2"/>
        </w:numPr>
        <w:spacing w:before="40" w:after="40"/>
      </w:pPr>
      <w:r>
        <w:rPr>
          <w:rFonts w:ascii="Arial" w:cs="Arial" w:eastAsia="Arial" w:hAnsi="Arial"/>
          <w:color w:val="1A1A2E"/>
          <w:sz w:val="20"/>
          <w:szCs w:val="20"/>
        </w:rPr>
        <w:t xml:space="preserve">Build-from-scratch credibility: Can you design a governance program, not just manage an existing one?</w:t>
      </w:r>
    </w:p>
    <w:p>
      <w:pPr>
        <w:pStyle w:val="ListParagraph"/>
        <w:numPr>
          <w:ilvl w:val="0"/>
          <w:numId w:val="2"/>
        </w:numPr>
        <w:spacing w:before="40" w:after="40"/>
      </w:pPr>
      <w:r>
        <w:rPr>
          <w:rFonts w:ascii="Arial" w:cs="Arial" w:eastAsia="Arial" w:hAnsi="Arial"/>
          <w:color w:val="1A1A2E"/>
          <w:sz w:val="20"/>
          <w:szCs w:val="20"/>
        </w:rPr>
        <w:t xml:space="preserve">CRO ecosystem fluency: Do you understand vendor dynamics from both sides of the table?</w:t>
      </w:r>
    </w:p>
    <w:p>
      <w:pPr>
        <w:pStyle w:val="ListParagraph"/>
        <w:numPr>
          <w:ilvl w:val="0"/>
          <w:numId w:val="2"/>
        </w:numPr>
        <w:spacing w:before="40" w:after="40"/>
      </w:pPr>
      <w:r>
        <w:rPr>
          <w:rFonts w:ascii="Arial" w:cs="Arial" w:eastAsia="Arial" w:hAnsi="Arial"/>
          <w:color w:val="1A1A2E"/>
          <w:sz w:val="20"/>
          <w:szCs w:val="20"/>
        </w:rPr>
        <w:t xml:space="preserve">Cross-functional influence: Can you align internal stakeholders (Clinical Dev, Regulatory, Finance) without formal authority?</w:t>
      </w:r>
    </w:p>
    <w:p>
      <w:pPr>
        <w:pStyle w:val="ListParagraph"/>
        <w:numPr>
          <w:ilvl w:val="0"/>
          <w:numId w:val="2"/>
        </w:numPr>
        <w:spacing w:before="40" w:after="40"/>
      </w:pPr>
      <w:r>
        <w:rPr>
          <w:rFonts w:ascii="Arial" w:cs="Arial" w:eastAsia="Arial" w:hAnsi="Arial"/>
          <w:color w:val="1A1A2E"/>
          <w:sz w:val="20"/>
          <w:szCs w:val="20"/>
        </w:rPr>
        <w:t xml:space="preserve">Inspection readiness: Can you build documentation and oversight infrastructure that holds up under audit?</w:t>
      </w:r>
    </w:p>
    <w:p>
      <w:pPr>
        <w:pStyle w:val="ListParagraph"/>
        <w:numPr>
          <w:ilvl w:val="0"/>
          <w:numId w:val="2"/>
        </w:numPr>
        <w:spacing w:before="40" w:after="40"/>
      </w:pPr>
      <w:r>
        <w:rPr>
          <w:rFonts w:ascii="Arial" w:cs="Arial" w:eastAsia="Arial" w:hAnsi="Arial"/>
          <w:color w:val="1A1A2E"/>
          <w:sz w:val="20"/>
          <w:szCs w:val="20"/>
        </w:rPr>
        <w:t xml:space="preserve">Startup adaptability: Can you operate in ambiguity, prioritize with limited resources, and move fast without breaking compliance?</w:t>
      </w:r>
    </w:p>
    <w:p>
      <w:pPr>
        <w:pStyle w:val="ListParagraph"/>
        <w:numPr>
          <w:ilvl w:val="0"/>
          <w:numId w:val="2"/>
        </w:numPr>
        <w:spacing w:before="40" w:after="40"/>
      </w:pPr>
      <w:r>
        <w:rPr>
          <w:rFonts w:ascii="Arial" w:cs="Arial" w:eastAsia="Arial" w:hAnsi="Arial"/>
          <w:color w:val="1A1A2E"/>
          <w:sz w:val="20"/>
          <w:szCs w:val="20"/>
        </w:rPr>
        <w:t xml:space="preserve">KPI framework design: Can you build and own vendor performance metrics that actually drive behavior?</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4F8C"/>
          <w:sz w:val="28"/>
          <w:szCs w:val="28"/>
        </w:rPr>
        <w:t xml:space="preserve">2. CANDIDATE FIT SUMMARY</w:t>
      </w:r>
    </w:p>
    <w:p>
      <w:pPr>
        <w:pStyle w:val="Heading2"/>
        <w:spacing w:before="280" w:after="80"/>
      </w:pPr>
      <w:r>
        <w:rPr>
          <w:rFonts w:ascii="Arial" w:cs="Arial" w:eastAsia="Arial" w:hAnsi="Arial"/>
          <w:b/>
          <w:bCs/>
          <w:color w:val="2E75B6"/>
          <w:sz w:val="24"/>
          <w:szCs w:val="24"/>
        </w:rPr>
        <w:t xml:space="preserve">Your Strongest Alignment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Zero-to-One 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 founded Moderna's Global Clinical Monitoring Oversight organization from scratch — no playbook, no predecessor, just a mandate and your expertise. This is the exact muscle Structure needs.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CRO Dual Perspective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years on the CRO side at IQVIA, PRA, PPD, and Covance before moving sponsor-side. You know how CROs operate internally — their incentive structures, where they cut corners, and what levers actually drive performance. That's a rare differentiator.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KPI &amp; Governance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 built RBQM frameworks, CRO oversight models, and performance monitoring cadences at scale. Structure is asking for exactly this in their preferred qualifications.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Inspection Readiness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You've led audit preparation, TMF oversight, and regulatory inspection readiness — and they explicitly call this out as preferred experience.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Cross-Functional Leadership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CV reflects consistent collaboration with Clinical Development, Regulatory, Medical Affairs, Biostatistics, and Data Management — the exact stakeholder map for this role.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20"/>
                <w:szCs w:val="20"/>
              </w:rPr>
              <w:t xml:space="preserve">Landmark Program Experience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 led the largest pediatric mRNA vaccine trial globally through to EUA. That's a high-visibility, high-stakes program that speaks to execution at the highest level.</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Areas to Prepare For</w:t>
      </w:r>
    </w:p>
    <w:p>
      <w:pPr>
        <w:pStyle w:val="ListParagraph"/>
        <w:numPr>
          <w:ilvl w:val="0"/>
          <w:numId w:val="2"/>
        </w:numPr>
        <w:spacing w:before="40" w:after="40"/>
      </w:pPr>
      <w:r>
        <w:rPr>
          <w:rFonts w:ascii="Arial" w:cs="Arial" w:eastAsia="Arial" w:hAnsi="Arial"/>
          <w:b/>
          <w:bCs/>
          <w:color w:val="1A1A2E"/>
          <w:sz w:val="20"/>
          <w:szCs w:val="20"/>
        </w:rPr>
        <w:t xml:space="preserve">Biotech scale vs. Moderna scale: </w:t>
      </w:r>
      <w:r>
        <w:rPr>
          <w:rFonts w:ascii="Arial" w:cs="Arial" w:eastAsia="Arial" w:hAnsi="Arial"/>
          <w:color w:val="1A1A2E"/>
          <w:sz w:val="20"/>
          <w:szCs w:val="20"/>
        </w:rPr>
        <w:t xml:space="preserve">Moderna is a large commercial biotech. Structure is smaller and more nimble. Be ready to speak to how you'd adapt your governance frameworks to a leaner organization — without losing rigor.</w:t>
      </w:r>
    </w:p>
    <w:p>
      <w:pPr>
        <w:pStyle w:val="ListParagraph"/>
        <w:numPr>
          <w:ilvl w:val="0"/>
          <w:numId w:val="2"/>
        </w:numPr>
        <w:spacing w:before="40" w:after="40"/>
      </w:pPr>
      <w:r>
        <w:rPr>
          <w:rFonts w:ascii="Arial" w:cs="Arial" w:eastAsia="Arial" w:hAnsi="Arial"/>
          <w:b/>
          <w:bCs/>
          <w:color w:val="1A1A2E"/>
          <w:sz w:val="20"/>
          <w:szCs w:val="20"/>
        </w:rPr>
        <w:t xml:space="preserve">GLP-1 / metabolic disease familiarity: </w:t>
      </w:r>
      <w:r>
        <w:rPr>
          <w:rFonts w:ascii="Arial" w:cs="Arial" w:eastAsia="Arial" w:hAnsi="Arial"/>
          <w:color w:val="1A1A2E"/>
          <w:sz w:val="20"/>
          <w:szCs w:val="20"/>
        </w:rPr>
        <w:t xml:space="preserve">Your background is heavily in vaccines, autoimmune, oncology, and CNS. You don't need to be a GLP-1 expert, but you should have a basic orientation to Structure's pipeline and be able to speak to how vendor oversight translates across therapeutic areas.</w:t>
      </w:r>
    </w:p>
    <w:p>
      <w:pPr>
        <w:pStyle w:val="ListParagraph"/>
        <w:numPr>
          <w:ilvl w:val="0"/>
          <w:numId w:val="2"/>
        </w:numPr>
        <w:spacing w:before="40" w:after="40"/>
      </w:pPr>
      <w:r>
        <w:rPr>
          <w:rFonts w:ascii="Arial" w:cs="Arial" w:eastAsia="Arial" w:hAnsi="Arial"/>
          <w:b/>
          <w:bCs/>
          <w:color w:val="1A1A2E"/>
          <w:sz w:val="20"/>
          <w:szCs w:val="20"/>
        </w:rPr>
        <w:t xml:space="preserve">Contract-specific framing: </w:t>
      </w:r>
      <w:r>
        <w:rPr>
          <w:rFonts w:ascii="Arial" w:cs="Arial" w:eastAsia="Arial" w:hAnsi="Arial"/>
          <w:color w:val="1A1A2E"/>
          <w:sz w:val="20"/>
          <w:szCs w:val="20"/>
        </w:rPr>
        <w:t xml:space="preserve">This is a contractor role, not a full-time hire. Be ready to speak to how you operate as an embedded contractor — independent, low-ramp, high-output. They want someone who can plug in and build, not someone who needs six months to get oriented.</w:t>
      </w:r>
    </w:p>
    <w:p>
      <w:pPr>
        <w:pStyle w:val="ListParagraph"/>
        <w:numPr>
          <w:ilvl w:val="0"/>
          <w:numId w:val="2"/>
        </w:numPr>
        <w:spacing w:before="40" w:after="40"/>
      </w:pPr>
      <w:r>
        <w:rPr>
          <w:rFonts w:ascii="Arial" w:cs="Arial" w:eastAsia="Arial" w:hAnsi="Arial"/>
          <w:b/>
          <w:bCs/>
          <w:color w:val="1A1A2E"/>
          <w:sz w:val="20"/>
          <w:szCs w:val="20"/>
        </w:rPr>
        <w:t xml:space="preserve">Location logistics: </w:t>
      </w:r>
      <w:r>
        <w:rPr>
          <w:rFonts w:ascii="Arial" w:cs="Arial" w:eastAsia="Arial" w:hAnsi="Arial"/>
          <w:color w:val="1A1A2E"/>
          <w:sz w:val="20"/>
          <w:szCs w:val="20"/>
        </w:rPr>
        <w:t xml:space="preserve">The role prefers on-site in SF. Be clear and direct: you're open to monthly travel (Connections Week) and have thought through the logistics. Don't let this feel like an unresolved question.</w:t>
      </w:r>
    </w:p>
    <w:p>
      <w:pPr>
        <w:spacing w:before="100" w:after="0"/>
      </w:pPr>
      <w:r>
        <w:t xml:space="preserve"/>
      </w:r>
    </w:p>
    <w:p>
      <w:pPr>
        <w:pStyle w:val="Heading2"/>
        <w:spacing w:before="280" w:after="80"/>
      </w:pPr>
      <w:r>
        <w:rPr>
          <w:rFonts w:ascii="Arial" w:cs="Arial" w:eastAsia="Arial" w:hAnsi="Arial"/>
          <w:b/>
          <w:bCs/>
          <w:color w:val="2E75B6"/>
          <w:sz w:val="24"/>
          <w:szCs w:val="24"/>
        </w:rPr>
        <w:t xml:space="preserve">How to Position Your Background</w:t>
      </w:r>
    </w:p>
    <w:p>
      <w:pPr>
        <w:spacing w:before="60" w:after="60"/>
      </w:pPr>
      <w:r>
        <w:rPr>
          <w:rFonts w:ascii="Arial" w:cs="Arial" w:eastAsia="Arial" w:hAnsi="Arial"/>
          <w:b w:val="false"/>
          <w:bCs w:val="false"/>
          <w:i w:val="false"/>
          <w:iCs w:val="false"/>
          <w:color w:val="1A1A2E"/>
          <w:sz w:val="20"/>
          <w:szCs w:val="20"/>
        </w:rPr>
        <w:t xml:space="preserve">Lead with the Moderna founding story. The fact that you built the GCMO organization from zero — including the governance infrastructure, KPI frameworks, and oversight cadences — is the clearest possible analog to what Structure needs. That's not a resume bullet; that's the central narrative of your candidacy.</w:t>
      </w:r>
    </w:p>
    <w:p>
      <w:pPr>
        <w:spacing w:before="60" w:after="0"/>
      </w:pPr>
      <w:r>
        <w:t xml:space="preserve"/>
      </w:r>
    </w:p>
    <w:p>
      <w:pPr>
        <w:spacing w:before="60" w:after="60"/>
      </w:pPr>
      <w:r>
        <w:rPr>
          <w:rFonts w:ascii="Arial" w:cs="Arial" w:eastAsia="Arial" w:hAnsi="Arial"/>
          <w:b w:val="false"/>
          <w:bCs w:val="false"/>
          <w:i w:val="false"/>
          <w:iCs w:val="false"/>
          <w:color w:val="1A1A2E"/>
          <w:sz w:val="20"/>
          <w:szCs w:val="20"/>
        </w:rPr>
        <w:t xml:space="preserve">Layer in your CRO-side lens. Most sponsor-side candidates have managed CROs. You've been inside them. That dual perspective changes how you write SOPs, design KPIs, and handle escalations. Name it explicitly — don't let interviewers discover it accidentally.</w:t>
      </w:r>
    </w:p>
    <w:p>
      <w:pPr>
        <w:spacing w:before="60" w:after="0"/>
      </w:pPr>
      <w:r>
        <w:t xml:space="preserve"/>
      </w:r>
    </w:p>
    <w:p>
      <w:pPr>
        <w:spacing w:before="60" w:after="60"/>
      </w:pPr>
      <w:r>
        <w:rPr>
          <w:rFonts w:ascii="Arial" w:cs="Arial" w:eastAsia="Arial" w:hAnsi="Arial"/>
          <w:b w:val="false"/>
          <w:bCs w:val="false"/>
          <w:i w:val="false"/>
          <w:iCs w:val="false"/>
          <w:color w:val="1A1A2E"/>
          <w:sz w:val="20"/>
          <w:szCs w:val="20"/>
        </w:rPr>
        <w:t xml:space="preserve">Tie your inspection readiness work to Structure's growth stage. They're scaling toward commercial. The documentation and oversight infrastructure you build now will be what the FDA looks at in an inspection. That framing elevates the stakes of the role and demonstrates strategic thinking.</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4F8C"/>
          <w:sz w:val="28"/>
          <w:szCs w:val="28"/>
        </w:rPr>
        <w:t xml:space="preserve">3. HIRING MANAGER INTERVIEW PREP</w:t>
      </w:r>
    </w:p>
    <w:p>
      <w:pPr>
        <w:spacing w:before="60" w:after="60"/>
      </w:pPr>
      <w:r>
        <w:rPr>
          <w:rFonts w:ascii="Arial" w:cs="Arial" w:eastAsia="Arial" w:hAnsi="Arial"/>
          <w:b w:val="false"/>
          <w:bCs w:val="false"/>
          <w:i w:val="false"/>
          <w:iCs w:val="false"/>
          <w:color w:val="1A1A2E"/>
          <w:sz w:val="20"/>
          <w:szCs w:val="20"/>
        </w:rPr>
        <w:t xml:space="preserve">You will likely have two hiring manager-level conversations — potentially with Hadley Taillefer (Director, Clinical Operations) and another senior stakeholder in Clinical Development. Expect these interviews to go deep on how you build, what you've built, and how you handle complexity. Come with specifics.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Likely Areas of Deep Dive</w:t>
      </w:r>
    </w:p>
    <w:p>
      <w:pPr>
        <w:pStyle w:val="ListParagraph"/>
        <w:numPr>
          <w:ilvl w:val="0"/>
          <w:numId w:val="2"/>
        </w:numPr>
        <w:spacing w:before="40" w:after="40"/>
      </w:pPr>
      <w:r>
        <w:rPr>
          <w:rFonts w:ascii="Arial" w:cs="Arial" w:eastAsia="Arial" w:hAnsi="Arial"/>
          <w:color w:val="1A1A2E"/>
          <w:sz w:val="20"/>
          <w:szCs w:val="20"/>
        </w:rPr>
        <w:t xml:space="preserve">How you designed the GCMO organization at Moderna — the structure, the stakeholders, the timeline, the gaps you inherited</w:t>
      </w:r>
    </w:p>
    <w:p>
      <w:pPr>
        <w:pStyle w:val="ListParagraph"/>
        <w:numPr>
          <w:ilvl w:val="0"/>
          <w:numId w:val="2"/>
        </w:numPr>
        <w:spacing w:before="40" w:after="40"/>
      </w:pPr>
      <w:r>
        <w:rPr>
          <w:rFonts w:ascii="Arial" w:cs="Arial" w:eastAsia="Arial" w:hAnsi="Arial"/>
          <w:color w:val="1A1A2E"/>
          <w:sz w:val="20"/>
          <w:szCs w:val="20"/>
        </w:rPr>
        <w:t xml:space="preserve">Your approach to vendor KPI design — what metrics you chose, why, and how you got vendor buy-in</w:t>
      </w:r>
    </w:p>
    <w:p>
      <w:pPr>
        <w:pStyle w:val="ListParagraph"/>
        <w:numPr>
          <w:ilvl w:val="0"/>
          <w:numId w:val="2"/>
        </w:numPr>
        <w:spacing w:before="40" w:after="40"/>
      </w:pPr>
      <w:r>
        <w:rPr>
          <w:rFonts w:ascii="Arial" w:cs="Arial" w:eastAsia="Arial" w:hAnsi="Arial"/>
          <w:color w:val="1A1A2E"/>
          <w:sz w:val="20"/>
          <w:szCs w:val="20"/>
        </w:rPr>
        <w:t xml:space="preserve">How you managed CRO performance issues — specific escalation examples with outcomes</w:t>
      </w:r>
    </w:p>
    <w:p>
      <w:pPr>
        <w:pStyle w:val="ListParagraph"/>
        <w:numPr>
          <w:ilvl w:val="0"/>
          <w:numId w:val="2"/>
        </w:numPr>
        <w:spacing w:before="40" w:after="40"/>
      </w:pPr>
      <w:r>
        <w:rPr>
          <w:rFonts w:ascii="Arial" w:cs="Arial" w:eastAsia="Arial" w:hAnsi="Arial"/>
          <w:color w:val="1A1A2E"/>
          <w:sz w:val="20"/>
          <w:szCs w:val="20"/>
        </w:rPr>
        <w:t xml:space="preserve">Your process for audit readiness in a vendor oversight context — documentation, gap assessments, rapid response</w:t>
      </w:r>
    </w:p>
    <w:p>
      <w:pPr>
        <w:pStyle w:val="ListParagraph"/>
        <w:numPr>
          <w:ilvl w:val="0"/>
          <w:numId w:val="2"/>
        </w:numPr>
        <w:spacing w:before="40" w:after="40"/>
      </w:pPr>
      <w:r>
        <w:rPr>
          <w:rFonts w:ascii="Arial" w:cs="Arial" w:eastAsia="Arial" w:hAnsi="Arial"/>
          <w:color w:val="1A1A2E"/>
          <w:sz w:val="20"/>
          <w:szCs w:val="20"/>
        </w:rPr>
        <w:t xml:space="preserve">How you balance compliance rigor with startup speed — they will probe for adaptability</w:t>
      </w:r>
    </w:p>
    <w:p>
      <w:pPr>
        <w:pStyle w:val="ListParagraph"/>
        <w:numPr>
          <w:ilvl w:val="0"/>
          <w:numId w:val="2"/>
        </w:numPr>
        <w:spacing w:before="40" w:after="40"/>
      </w:pPr>
      <w:r>
        <w:rPr>
          <w:rFonts w:ascii="Arial" w:cs="Arial" w:eastAsia="Arial" w:hAnsi="Arial"/>
          <w:color w:val="1A1A2E"/>
          <w:sz w:val="20"/>
          <w:szCs w:val="20"/>
        </w:rPr>
        <w:t xml:space="preserve">Your vendor selection and onboarding experience — due diligence, contracting support, evaluation frameworks</w:t>
      </w:r>
    </w:p>
    <w:p>
      <w:pPr>
        <w:spacing w:before="100" w:after="0"/>
      </w:pPr>
      <w:r>
        <w:t xml:space="preserve"/>
      </w:r>
    </w:p>
    <w:p>
      <w:pPr>
        <w:pStyle w:val="Heading2"/>
        <w:spacing w:before="280" w:after="80"/>
      </w:pPr>
      <w:r>
        <w:rPr>
          <w:rFonts w:ascii="Arial" w:cs="Arial" w:eastAsia="Arial" w:hAnsi="Arial"/>
          <w:b/>
          <w:bCs/>
          <w:color w:val="2E75B6"/>
          <w:sz w:val="24"/>
          <w:szCs w:val="24"/>
        </w:rPr>
        <w:t xml:space="preserve">Behavioral Interview Questions (STAR Method)</w:t>
      </w:r>
    </w:p>
    <w:p>
      <w:pPr>
        <w:spacing w:before="60" w:after="0"/>
      </w:pPr>
      <w:r>
        <w:t xml:space="preserve"/>
      </w:r>
    </w:p>
    <w:p>
      <w:pPr>
        <w:spacing w:before="200" w:after="60"/>
      </w:pPr>
      <w:r>
        <w:rPr>
          <w:rFonts w:ascii="Arial" w:cs="Arial" w:eastAsia="Arial" w:hAnsi="Arial"/>
          <w:b/>
          <w:bCs/>
          <w:color w:val="1A1A2E"/>
          <w:sz w:val="22"/>
          <w:szCs w:val="22"/>
        </w:rPr>
        <w:t xml:space="preserve">Q1 — Build-From-Scratch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9FF" w:val="clear"/>
            <w:tcMar>
              <w:top w:type="dxa" w:w="120"/>
              <w:left w:type="dxa" w:w="180"/>
              <w:bottom w:type="dxa" w:w="120"/>
              <w:right w:type="dxa" w:w="180"/>
            </w:tcMar>
          </w:tcPr>
          <w:p>
            <w:pPr>
              <w:spacing w:before="40" w:after="80"/>
            </w:pPr>
            <w:r>
              <w:rPr>
                <w:rFonts w:ascii="Arial" w:cs="Arial" w:eastAsia="Arial" w:hAnsi="Arial"/>
                <w:b/>
                <w:bCs/>
                <w:color w:val="1B4F8C"/>
                <w:sz w:val="20"/>
                <w:szCs w:val="20"/>
              </w:rPr>
              <w:t xml:space="preserve">Tell me about a time you built a vendor governance or oversight program from the ground up.</w:t>
            </w:r>
          </w:p>
          <w:p>
            <w:pPr>
              <w:spacing w:before="40" w:after="30"/>
            </w:pPr>
            <w:r>
              <w:rPr>
                <w:rFonts w:ascii="Arial" w:cs="Arial" w:eastAsia="Arial" w:hAnsi="Arial"/>
                <w:b/>
                <w:bCs/>
                <w:color w:val="2E75B6"/>
                <w:sz w:val="18"/>
                <w:szCs w:val="18"/>
              </w:rPr>
              <w:t xml:space="preserve">SITUATION: </w:t>
            </w:r>
            <w:r>
              <w:rPr>
                <w:rFonts w:ascii="Arial" w:cs="Arial" w:eastAsia="Arial" w:hAnsi="Arial"/>
                <w:color w:val="1A1A2E"/>
                <w:sz w:val="18"/>
                <w:szCs w:val="18"/>
              </w:rPr>
              <w:t xml:space="preserve">When I joined Moderna's Clinical Operations group, there was no formal vendor governance infrastructure. CRO oversight was largely ad hoc, performance reporting was inconsistent, and there were no standardized KPI frameworks in place.</w:t>
            </w:r>
          </w:p>
          <w:p>
            <w:pPr>
              <w:spacing w:before="30" w:after="30"/>
            </w:pPr>
            <w:r>
              <w:rPr>
                <w:rFonts w:ascii="Arial" w:cs="Arial" w:eastAsia="Arial" w:hAnsi="Arial"/>
                <w:b/>
                <w:bCs/>
                <w:color w:val="2E75B6"/>
                <w:sz w:val="18"/>
                <w:szCs w:val="18"/>
              </w:rPr>
              <w:t xml:space="preserve">TASK: </w:t>
            </w:r>
            <w:r>
              <w:rPr>
                <w:rFonts w:ascii="Arial" w:cs="Arial" w:eastAsia="Arial" w:hAnsi="Arial"/>
                <w:color w:val="1A1A2E"/>
                <w:sz w:val="18"/>
                <w:szCs w:val="18"/>
              </w:rPr>
              <w:t xml:space="preserve">My mandate was to found and operationalize the Global Clinical Monitoring Oversight organization — effectively building the function from zero.</w:t>
            </w:r>
          </w:p>
          <w:p>
            <w:pPr>
              <w:spacing w:before="30" w:after="30"/>
            </w:pPr>
            <w:r>
              <w:rPr>
                <w:rFonts w:ascii="Arial" w:cs="Arial" w:eastAsia="Arial" w:hAnsi="Arial"/>
                <w:b/>
                <w:bCs/>
                <w:color w:val="2E75B6"/>
                <w:sz w:val="18"/>
                <w:szCs w:val="18"/>
              </w:rPr>
              <w:t xml:space="preserve">ACTION: </w:t>
            </w:r>
            <w:r>
              <w:rPr>
                <w:rFonts w:ascii="Arial" w:cs="Arial" w:eastAsia="Arial" w:hAnsi="Arial"/>
                <w:color w:val="1A1A2E"/>
                <w:sz w:val="18"/>
                <w:szCs w:val="18"/>
              </w:rPr>
              <w:t xml:space="preserve">I designed the organizational structure and staffing model, developed CRO oversight frameworks with defined KPI cadences, established monthly and quarterly performance reporting, created governance documentation including SOPs and oversight plans, and stood up cross-functional accountability structures with Clinical Development, Regulatory, and Data Management stakeholders.</w:t>
            </w:r>
          </w:p>
          <w:p>
            <w:pPr>
              <w:spacing w:before="30" w:after="40"/>
            </w:pPr>
            <w:r>
              <w:rPr>
                <w:rFonts w:ascii="Arial" w:cs="Arial" w:eastAsia="Arial" w:hAnsi="Arial"/>
                <w:b/>
                <w:bCs/>
                <w:color w:val="2E75B6"/>
                <w:sz w:val="18"/>
                <w:szCs w:val="18"/>
              </w:rPr>
              <w:t xml:space="preserve">RESULT: </w:t>
            </w:r>
            <w:r>
              <w:rPr>
                <w:rFonts w:ascii="Arial" w:cs="Arial" w:eastAsia="Arial" w:hAnsi="Arial"/>
                <w:color w:val="1A1A2E"/>
                <w:sz w:val="18"/>
                <w:szCs w:val="18"/>
              </w:rPr>
              <w:t xml:space="preserve">The GCMO organization became the operational backbone for Moderna's global clinical programs, including some of the highest-visibility trials in the company's history. It was audit-ready from inception and scaled with the company's pipeline growth.</w:t>
            </w:r>
          </w:p>
        </w:tc>
      </w:tr>
    </w:tbl>
    <w:p>
      <w:pPr>
        <w:spacing w:before="100" w:after="0"/>
      </w:pPr>
      <w:r>
        <w:t xml:space="preserve"/>
      </w:r>
    </w:p>
    <w:p>
      <w:pPr>
        <w:spacing w:before="200" w:after="60"/>
      </w:pPr>
      <w:r>
        <w:rPr>
          <w:rFonts w:ascii="Arial" w:cs="Arial" w:eastAsia="Arial" w:hAnsi="Arial"/>
          <w:b/>
          <w:bCs/>
          <w:color w:val="1A1A2E"/>
          <w:sz w:val="22"/>
          <w:szCs w:val="22"/>
        </w:rPr>
        <w:t xml:space="preserve">Q2 — Underperforming Vendor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9FF" w:val="clear"/>
            <w:tcMar>
              <w:top w:type="dxa" w:w="120"/>
              <w:left w:type="dxa" w:w="180"/>
              <w:bottom w:type="dxa" w:w="120"/>
              <w:right w:type="dxa" w:w="180"/>
            </w:tcMar>
          </w:tcPr>
          <w:p>
            <w:pPr>
              <w:spacing w:before="40" w:after="80"/>
            </w:pPr>
            <w:r>
              <w:rPr>
                <w:rFonts w:ascii="Arial" w:cs="Arial" w:eastAsia="Arial" w:hAnsi="Arial"/>
                <w:b/>
                <w:bCs/>
                <w:color w:val="1B4F8C"/>
                <w:sz w:val="20"/>
                <w:szCs w:val="20"/>
              </w:rPr>
              <w:t xml:space="preserve">Describe a situation where a CRO or key vendor was underperforming. How did you handle it?</w:t>
            </w:r>
          </w:p>
          <w:p>
            <w:pPr>
              <w:spacing w:before="40" w:after="30"/>
            </w:pPr>
            <w:r>
              <w:rPr>
                <w:rFonts w:ascii="Arial" w:cs="Arial" w:eastAsia="Arial" w:hAnsi="Arial"/>
                <w:b/>
                <w:bCs/>
                <w:color w:val="2E75B6"/>
                <w:sz w:val="18"/>
                <w:szCs w:val="18"/>
              </w:rPr>
              <w:t xml:space="preserve">SITUATION: </w:t>
            </w:r>
            <w:r>
              <w:rPr>
                <w:rFonts w:ascii="Arial" w:cs="Arial" w:eastAsia="Arial" w:hAnsi="Arial"/>
                <w:color w:val="1A1A2E"/>
                <w:sz w:val="18"/>
                <w:szCs w:val="18"/>
              </w:rPr>
              <w:t xml:space="preserve">During a multinational Phase III program, a CRO partner was consistently missing site activation timelines and providing incomplete monitoring visit reports, which was creating downstream risk for data quality and regulatory submission readiness.</w:t>
            </w:r>
          </w:p>
          <w:p>
            <w:pPr>
              <w:spacing w:before="30" w:after="30"/>
            </w:pPr>
            <w:r>
              <w:rPr>
                <w:rFonts w:ascii="Arial" w:cs="Arial" w:eastAsia="Arial" w:hAnsi="Arial"/>
                <w:b/>
                <w:bCs/>
                <w:color w:val="2E75B6"/>
                <w:sz w:val="18"/>
                <w:szCs w:val="18"/>
              </w:rPr>
              <w:t xml:space="preserve">TASK: </w:t>
            </w:r>
            <w:r>
              <w:rPr>
                <w:rFonts w:ascii="Arial" w:cs="Arial" w:eastAsia="Arial" w:hAnsi="Arial"/>
                <w:color w:val="1A1A2E"/>
                <w:sz w:val="18"/>
                <w:szCs w:val="18"/>
              </w:rPr>
              <w:t xml:space="preserve">As the oversight lead, I needed to drive performance improvement without disrupting the trial or damaging a long-term vendor relationship.</w:t>
            </w:r>
          </w:p>
          <w:p>
            <w:pPr>
              <w:spacing w:before="30" w:after="30"/>
            </w:pPr>
            <w:r>
              <w:rPr>
                <w:rFonts w:ascii="Arial" w:cs="Arial" w:eastAsia="Arial" w:hAnsi="Arial"/>
                <w:b/>
                <w:bCs/>
                <w:color w:val="2E75B6"/>
                <w:sz w:val="18"/>
                <w:szCs w:val="18"/>
              </w:rPr>
              <w:t xml:space="preserve">ACTION: </w:t>
            </w:r>
            <w:r>
              <w:rPr>
                <w:rFonts w:ascii="Arial" w:cs="Arial" w:eastAsia="Arial" w:hAnsi="Arial"/>
                <w:color w:val="1A1A2E"/>
                <w:sz w:val="18"/>
                <w:szCs w:val="18"/>
              </w:rPr>
              <w:t xml:space="preserve">I initiated a formal performance review meeting with CRO leadership, presented documented KPI data against contractual obligations, and worked jointly to develop a structured remediation plan with specific milestones and escalation triggers. I also put in place a bi-weekly check-in cadence until metrics normalized and looped in our Legal and Contracts team to ensure contractual accountability was documented.</w:t>
            </w:r>
          </w:p>
          <w:p>
            <w:pPr>
              <w:spacing w:before="30" w:after="40"/>
            </w:pPr>
            <w:r>
              <w:rPr>
                <w:rFonts w:ascii="Arial" w:cs="Arial" w:eastAsia="Arial" w:hAnsi="Arial"/>
                <w:b/>
                <w:bCs/>
                <w:color w:val="2E75B6"/>
                <w:sz w:val="18"/>
                <w:szCs w:val="18"/>
              </w:rPr>
              <w:t xml:space="preserve">RESULT: </w:t>
            </w:r>
            <w:r>
              <w:rPr>
                <w:rFonts w:ascii="Arial" w:cs="Arial" w:eastAsia="Arial" w:hAnsi="Arial"/>
                <w:color w:val="1A1A2E"/>
                <w:sz w:val="18"/>
                <w:szCs w:val="18"/>
              </w:rPr>
              <w:t xml:space="preserve">The CRO met the remediation milestones within 60 days. Site activation and visit report quality both returned to acceptable thresholds, and we completed that program on schedule without a regulatory flag.</w:t>
            </w:r>
          </w:p>
        </w:tc>
      </w:tr>
    </w:tbl>
    <w:p>
      <w:pPr>
        <w:spacing w:before="100" w:after="0"/>
      </w:pPr>
      <w:r>
        <w:t xml:space="preserve"/>
      </w:r>
    </w:p>
    <w:p>
      <w:pPr>
        <w:spacing w:before="200" w:after="60"/>
      </w:pPr>
      <w:r>
        <w:rPr>
          <w:rFonts w:ascii="Arial" w:cs="Arial" w:eastAsia="Arial" w:hAnsi="Arial"/>
          <w:b/>
          <w:bCs/>
          <w:color w:val="1A1A2E"/>
          <w:sz w:val="22"/>
          <w:szCs w:val="22"/>
        </w:rPr>
        <w:t xml:space="preserve">Q3 — Cross-Functional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9FF" w:val="clear"/>
            <w:tcMar>
              <w:top w:type="dxa" w:w="120"/>
              <w:left w:type="dxa" w:w="180"/>
              <w:bottom w:type="dxa" w:w="120"/>
              <w:right w:type="dxa" w:w="180"/>
            </w:tcMar>
          </w:tcPr>
          <w:p>
            <w:pPr>
              <w:spacing w:before="40" w:after="80"/>
            </w:pPr>
            <w:r>
              <w:rPr>
                <w:rFonts w:ascii="Arial" w:cs="Arial" w:eastAsia="Arial" w:hAnsi="Arial"/>
                <w:b/>
                <w:bCs/>
                <w:color w:val="1B4F8C"/>
                <w:sz w:val="20"/>
                <w:szCs w:val="20"/>
              </w:rPr>
              <w:t xml:space="preserve">Give me an example of a time you had to align internal stakeholders who had competing priorities around vendor oversight.</w:t>
            </w:r>
          </w:p>
          <w:p>
            <w:pPr>
              <w:spacing w:before="40" w:after="30"/>
            </w:pPr>
            <w:r>
              <w:rPr>
                <w:rFonts w:ascii="Arial" w:cs="Arial" w:eastAsia="Arial" w:hAnsi="Arial"/>
                <w:b/>
                <w:bCs/>
                <w:color w:val="2E75B6"/>
                <w:sz w:val="18"/>
                <w:szCs w:val="18"/>
              </w:rPr>
              <w:t xml:space="preserve">SITUATION: </w:t>
            </w:r>
            <w:r>
              <w:rPr>
                <w:rFonts w:ascii="Arial" w:cs="Arial" w:eastAsia="Arial" w:hAnsi="Arial"/>
                <w:color w:val="1A1A2E"/>
                <w:sz w:val="18"/>
                <w:szCs w:val="18"/>
              </w:rPr>
              <w:t xml:space="preserve">At Moderna, Clinical Development wanted to accelerate a site expansion timeline that required adding a new CRO partner quickly. Legal and Finance had concerns about the contracting timeline and budget exposure. My oversight team flagged risks around onboarding readiness and monitoring capacity.</w:t>
            </w:r>
          </w:p>
          <w:p>
            <w:pPr>
              <w:spacing w:before="30" w:after="30"/>
            </w:pPr>
            <w:r>
              <w:rPr>
                <w:rFonts w:ascii="Arial" w:cs="Arial" w:eastAsia="Arial" w:hAnsi="Arial"/>
                <w:b/>
                <w:bCs/>
                <w:color w:val="2E75B6"/>
                <w:sz w:val="18"/>
                <w:szCs w:val="18"/>
              </w:rPr>
              <w:t xml:space="preserve">TASK: </w:t>
            </w:r>
            <w:r>
              <w:rPr>
                <w:rFonts w:ascii="Arial" w:cs="Arial" w:eastAsia="Arial" w:hAnsi="Arial"/>
                <w:color w:val="1A1A2E"/>
                <w:sz w:val="18"/>
                <w:szCs w:val="18"/>
              </w:rPr>
              <w:t xml:space="preserve">I needed to find a path that addressed all three functions' concerns without stalling program momentum.</w:t>
            </w:r>
          </w:p>
          <w:p>
            <w:pPr>
              <w:spacing w:before="30" w:after="30"/>
            </w:pPr>
            <w:r>
              <w:rPr>
                <w:rFonts w:ascii="Arial" w:cs="Arial" w:eastAsia="Arial" w:hAnsi="Arial"/>
                <w:b/>
                <w:bCs/>
                <w:color w:val="2E75B6"/>
                <w:sz w:val="18"/>
                <w:szCs w:val="18"/>
              </w:rPr>
              <w:t xml:space="preserve">ACTION: </w:t>
            </w:r>
            <w:r>
              <w:rPr>
                <w:rFonts w:ascii="Arial" w:cs="Arial" w:eastAsia="Arial" w:hAnsi="Arial"/>
                <w:color w:val="1A1A2E"/>
                <w:sz w:val="18"/>
                <w:szCs w:val="18"/>
              </w:rPr>
              <w:t xml:space="preserve">I facilitated a cross-functional working session, mapped out each team's constraints and priorities explicitly, and proposed a phased onboarding structure that allowed Clinical Development to move forward with a limited site scope while we completed full contracting and onboarding documentation. I also built a risk mitigation annex to the oversight plan to satisfy Legal's concerns.</w:t>
            </w:r>
          </w:p>
          <w:p>
            <w:pPr>
              <w:spacing w:before="30" w:after="40"/>
            </w:pPr>
            <w:r>
              <w:rPr>
                <w:rFonts w:ascii="Arial" w:cs="Arial" w:eastAsia="Arial" w:hAnsi="Arial"/>
                <w:b/>
                <w:bCs/>
                <w:color w:val="2E75B6"/>
                <w:sz w:val="18"/>
                <w:szCs w:val="18"/>
              </w:rPr>
              <w:t xml:space="preserve">RESULT: </w:t>
            </w:r>
            <w:r>
              <w:rPr>
                <w:rFonts w:ascii="Arial" w:cs="Arial" w:eastAsia="Arial" w:hAnsi="Arial"/>
                <w:color w:val="1A1A2E"/>
                <w:sz w:val="18"/>
                <w:szCs w:val="18"/>
              </w:rPr>
              <w:t xml:space="preserve">We launched the CRO partnership on a modified timeline that satisfied all stakeholders. The phased approach actually became a standard onboarding model we replicated across subsequent vendor additions.</w:t>
            </w:r>
          </w:p>
        </w:tc>
      </w:tr>
    </w:tbl>
    <w:p>
      <w:pPr>
        <w:spacing w:before="100" w:after="0"/>
      </w:pPr>
      <w:r>
        <w:t xml:space="preserve"/>
      </w:r>
    </w:p>
    <w:p>
      <w:pPr>
        <w:spacing w:before="200" w:after="60"/>
      </w:pPr>
      <w:r>
        <w:rPr>
          <w:rFonts w:ascii="Arial" w:cs="Arial" w:eastAsia="Arial" w:hAnsi="Arial"/>
          <w:b/>
          <w:bCs/>
          <w:color w:val="1A1A2E"/>
          <w:sz w:val="22"/>
          <w:szCs w:val="22"/>
        </w:rPr>
        <w:t xml:space="preserve">Q4 — Inspection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9FF" w:val="clear"/>
            <w:tcMar>
              <w:top w:type="dxa" w:w="120"/>
              <w:left w:type="dxa" w:w="180"/>
              <w:bottom w:type="dxa" w:w="120"/>
              <w:right w:type="dxa" w:w="180"/>
            </w:tcMar>
          </w:tcPr>
          <w:p>
            <w:pPr>
              <w:spacing w:before="40" w:after="80"/>
            </w:pPr>
            <w:r>
              <w:rPr>
                <w:rFonts w:ascii="Arial" w:cs="Arial" w:eastAsia="Arial" w:hAnsi="Arial"/>
                <w:b/>
                <w:bCs/>
                <w:color w:val="1B4F8C"/>
                <w:sz w:val="20"/>
                <w:szCs w:val="20"/>
              </w:rPr>
              <w:t xml:space="preserve">Walk me through your experience preparing for a regulatory audit or inspection in the context of vendor oversight.</w:t>
            </w:r>
          </w:p>
          <w:p>
            <w:pPr>
              <w:spacing w:before="40" w:after="30"/>
            </w:pPr>
            <w:r>
              <w:rPr>
                <w:rFonts w:ascii="Arial" w:cs="Arial" w:eastAsia="Arial" w:hAnsi="Arial"/>
                <w:b/>
                <w:bCs/>
                <w:color w:val="2E75B6"/>
                <w:sz w:val="18"/>
                <w:szCs w:val="18"/>
              </w:rPr>
              <w:t xml:space="preserve">SITUATION: </w:t>
            </w:r>
            <w:r>
              <w:rPr>
                <w:rFonts w:ascii="Arial" w:cs="Arial" w:eastAsia="Arial" w:hAnsi="Arial"/>
                <w:color w:val="1A1A2E"/>
                <w:sz w:val="18"/>
                <w:szCs w:val="18"/>
              </w:rPr>
              <w:t xml:space="preserve">During a Phase III mRNA vaccine program at Moderna, we received notification of an FDA inspection with a compressed preparation window.</w:t>
            </w:r>
          </w:p>
          <w:p>
            <w:pPr>
              <w:spacing w:before="30" w:after="30"/>
            </w:pPr>
            <w:r>
              <w:rPr>
                <w:rFonts w:ascii="Arial" w:cs="Arial" w:eastAsia="Arial" w:hAnsi="Arial"/>
                <w:b/>
                <w:bCs/>
                <w:color w:val="2E75B6"/>
                <w:sz w:val="18"/>
                <w:szCs w:val="18"/>
              </w:rPr>
              <w:t xml:space="preserve">TASK: </w:t>
            </w:r>
            <w:r>
              <w:rPr>
                <w:rFonts w:ascii="Arial" w:cs="Arial" w:eastAsia="Arial" w:hAnsi="Arial"/>
                <w:color w:val="1A1A2E"/>
                <w:sz w:val="18"/>
                <w:szCs w:val="18"/>
              </w:rPr>
              <w:t xml:space="preserve">As the Clinical Operations lead with oversight responsibilities, I needed to ensure our vendor documentation, monitoring oversight records, and sponsor oversight evidence were inspection-ready.</w:t>
            </w:r>
          </w:p>
          <w:p>
            <w:pPr>
              <w:spacing w:before="30" w:after="30"/>
            </w:pPr>
            <w:r>
              <w:rPr>
                <w:rFonts w:ascii="Arial" w:cs="Arial" w:eastAsia="Arial" w:hAnsi="Arial"/>
                <w:b/>
                <w:bCs/>
                <w:color w:val="2E75B6"/>
                <w:sz w:val="18"/>
                <w:szCs w:val="18"/>
              </w:rPr>
              <w:t xml:space="preserve">ACTION: </w:t>
            </w:r>
            <w:r>
              <w:rPr>
                <w:rFonts w:ascii="Arial" w:cs="Arial" w:eastAsia="Arial" w:hAnsi="Arial"/>
                <w:color w:val="1A1A2E"/>
                <w:sz w:val="18"/>
                <w:szCs w:val="18"/>
              </w:rPr>
              <w:t xml:space="preserve">I led a rapid gap assessment of the eTMF and oversight documentation, identified areas where sponsor oversight evidence was incomplete, and coordinated a cross-functional documentation sprint with CRO partners, our monitoring oversight team, and Clinical Development. I also prepared a vendor oversight summary narrative and ensured our KPI reporting was aligned with what the inspection would likely scrutinize.</w:t>
            </w:r>
          </w:p>
          <w:p>
            <w:pPr>
              <w:spacing w:before="30" w:after="40"/>
            </w:pPr>
            <w:r>
              <w:rPr>
                <w:rFonts w:ascii="Arial" w:cs="Arial" w:eastAsia="Arial" w:hAnsi="Arial"/>
                <w:b/>
                <w:bCs/>
                <w:color w:val="2E75B6"/>
                <w:sz w:val="18"/>
                <w:szCs w:val="18"/>
              </w:rPr>
              <w:t xml:space="preserve">RESULT: </w:t>
            </w:r>
            <w:r>
              <w:rPr>
                <w:rFonts w:ascii="Arial" w:cs="Arial" w:eastAsia="Arial" w:hAnsi="Arial"/>
                <w:color w:val="1A1A2E"/>
                <w:sz w:val="18"/>
                <w:szCs w:val="18"/>
              </w:rPr>
              <w:t xml:space="preserve">The inspection concluded without critical findings related to monitoring or vendor oversight. The documentation infrastructure we built for that inspection became the template for our ongoing inspection readiness program.</w:t>
            </w:r>
          </w:p>
        </w:tc>
      </w:tr>
    </w:tbl>
    <w:p>
      <w:pPr>
        <w:spacing w:before="100" w:after="0"/>
      </w:pPr>
      <w:r>
        <w:t xml:space="preserve"/>
      </w:r>
    </w:p>
    <w:p>
      <w:pPr>
        <w:spacing w:before="200" w:after="60"/>
      </w:pPr>
      <w:r>
        <w:rPr>
          <w:rFonts w:ascii="Arial" w:cs="Arial" w:eastAsia="Arial" w:hAnsi="Arial"/>
          <w:b/>
          <w:bCs/>
          <w:color w:val="1A1A2E"/>
          <w:sz w:val="22"/>
          <w:szCs w:val="22"/>
        </w:rPr>
        <w:t xml:space="preserve">Q5 — Startup / Lean Environment Adaptability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9FF" w:val="clear"/>
            <w:tcMar>
              <w:top w:type="dxa" w:w="120"/>
              <w:left w:type="dxa" w:w="180"/>
              <w:bottom w:type="dxa" w:w="120"/>
              <w:right w:type="dxa" w:w="180"/>
            </w:tcMar>
          </w:tcPr>
          <w:p>
            <w:pPr>
              <w:spacing w:before="40" w:after="80"/>
            </w:pPr>
            <w:r>
              <w:rPr>
                <w:rFonts w:ascii="Arial" w:cs="Arial" w:eastAsia="Arial" w:hAnsi="Arial"/>
                <w:b/>
                <w:bCs/>
                <w:color w:val="1B4F8C"/>
                <w:sz w:val="20"/>
                <w:szCs w:val="20"/>
              </w:rPr>
              <w:t xml:space="preserve">Tell me about a time you had to achieve a significant operational outcome with limited resources or in an ambiguous environment.</w:t>
            </w:r>
          </w:p>
          <w:p>
            <w:pPr>
              <w:spacing w:before="40" w:after="30"/>
            </w:pPr>
            <w:r>
              <w:rPr>
                <w:rFonts w:ascii="Arial" w:cs="Arial" w:eastAsia="Arial" w:hAnsi="Arial"/>
                <w:b/>
                <w:bCs/>
                <w:color w:val="2E75B6"/>
                <w:sz w:val="18"/>
                <w:szCs w:val="18"/>
              </w:rPr>
              <w:t xml:space="preserve">SITUATION: </w:t>
            </w:r>
            <w:r>
              <w:rPr>
                <w:rFonts w:ascii="Arial" w:cs="Arial" w:eastAsia="Arial" w:hAnsi="Arial"/>
                <w:color w:val="1A1A2E"/>
                <w:sz w:val="18"/>
                <w:szCs w:val="18"/>
              </w:rPr>
              <w:t xml:space="preserve">When I first took on the GCMO founding role at Moderna, I had a mandate but no team, no budget finalized, and no existing process infrastructure to build on.</w:t>
            </w:r>
          </w:p>
          <w:p>
            <w:pPr>
              <w:spacing w:before="30" w:after="30"/>
            </w:pPr>
            <w:r>
              <w:rPr>
                <w:rFonts w:ascii="Arial" w:cs="Arial" w:eastAsia="Arial" w:hAnsi="Arial"/>
                <w:b/>
                <w:bCs/>
                <w:color w:val="2E75B6"/>
                <w:sz w:val="18"/>
                <w:szCs w:val="18"/>
              </w:rPr>
              <w:t xml:space="preserve">TASK: </w:t>
            </w:r>
            <w:r>
              <w:rPr>
                <w:rFonts w:ascii="Arial" w:cs="Arial" w:eastAsia="Arial" w:hAnsi="Arial"/>
                <w:color w:val="1A1A2E"/>
                <w:sz w:val="18"/>
                <w:szCs w:val="18"/>
              </w:rPr>
              <w:t xml:space="preserve">I needed to stand up a functional oversight organization and deliver meaningful CRO governance outputs within the first 90 days, while simultaneously recruiting the team.</w:t>
            </w:r>
          </w:p>
          <w:p>
            <w:pPr>
              <w:spacing w:before="30" w:after="30"/>
            </w:pPr>
            <w:r>
              <w:rPr>
                <w:rFonts w:ascii="Arial" w:cs="Arial" w:eastAsia="Arial" w:hAnsi="Arial"/>
                <w:b/>
                <w:bCs/>
                <w:color w:val="2E75B6"/>
                <w:sz w:val="18"/>
                <w:szCs w:val="18"/>
              </w:rPr>
              <w:t xml:space="preserve">ACTION: </w:t>
            </w:r>
            <w:r>
              <w:rPr>
                <w:rFonts w:ascii="Arial" w:cs="Arial" w:eastAsia="Arial" w:hAnsi="Arial"/>
                <w:color w:val="1A1A2E"/>
                <w:sz w:val="18"/>
                <w:szCs w:val="18"/>
              </w:rPr>
              <w:t xml:space="preserve">I prioritized ruthlessly — starting with the highest-risk programs and most critical KPI gaps. I leveraged existing relationships with CRO partners to get provisional oversight structures in place while formal frameworks were being documented. I also partnered with Finance to fast-track budget approvals by framing the oversight program in terms of audit risk mitigation.</w:t>
            </w:r>
          </w:p>
          <w:p>
            <w:pPr>
              <w:spacing w:before="30" w:after="40"/>
            </w:pPr>
            <w:r>
              <w:rPr>
                <w:rFonts w:ascii="Arial" w:cs="Arial" w:eastAsia="Arial" w:hAnsi="Arial"/>
                <w:b/>
                <w:bCs/>
                <w:color w:val="2E75B6"/>
                <w:sz w:val="18"/>
                <w:szCs w:val="18"/>
              </w:rPr>
              <w:t xml:space="preserve">RESULT: </w:t>
            </w:r>
            <w:r>
              <w:rPr>
                <w:rFonts w:ascii="Arial" w:cs="Arial" w:eastAsia="Arial" w:hAnsi="Arial"/>
                <w:color w:val="1A1A2E"/>
                <w:sz w:val="18"/>
                <w:szCs w:val="18"/>
              </w:rPr>
              <w:t xml:space="preserve">Within the first quarter, I had oversight frameworks operational for our two highest-priority programs, a staffing model approved, and a governance reporting cadence established. The organization scaled from zero to a fully functioning team within six months.</w:t>
            </w:r>
          </w:p>
        </w:tc>
      </w:tr>
    </w:tbl>
    <w:p>
      <w:pPr>
        <w:spacing w:before="100" w:after="0"/>
      </w:pPr>
      <w:r>
        <w:t xml:space="preserve"/>
      </w:r>
    </w:p>
    <w:p>
      <w:pPr>
        <w:spacing w:before="200" w:after="60"/>
      </w:pPr>
      <w:r>
        <w:rPr>
          <w:rFonts w:ascii="Arial" w:cs="Arial" w:eastAsia="Arial" w:hAnsi="Arial"/>
          <w:b/>
          <w:bCs/>
          <w:color w:val="1A1A2E"/>
          <w:sz w:val="22"/>
          <w:szCs w:val="22"/>
        </w:rPr>
        <w:t xml:space="preserve">Q6 — KPI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9FF" w:val="clear"/>
            <w:tcMar>
              <w:top w:type="dxa" w:w="120"/>
              <w:left w:type="dxa" w:w="180"/>
              <w:bottom w:type="dxa" w:w="120"/>
              <w:right w:type="dxa" w:w="180"/>
            </w:tcMar>
          </w:tcPr>
          <w:p>
            <w:pPr>
              <w:spacing w:before="40" w:after="80"/>
            </w:pPr>
            <w:r>
              <w:rPr>
                <w:rFonts w:ascii="Arial" w:cs="Arial" w:eastAsia="Arial" w:hAnsi="Arial"/>
                <w:b/>
                <w:bCs/>
                <w:color w:val="1B4F8C"/>
                <w:sz w:val="20"/>
                <w:szCs w:val="20"/>
              </w:rPr>
              <w:t xml:space="preserve">How have you approached designing or implementing KPI frameworks for vendor oversight?</w:t>
            </w:r>
          </w:p>
          <w:p>
            <w:pPr>
              <w:spacing w:before="40" w:after="30"/>
            </w:pPr>
            <w:r>
              <w:rPr>
                <w:rFonts w:ascii="Arial" w:cs="Arial" w:eastAsia="Arial" w:hAnsi="Arial"/>
                <w:b/>
                <w:bCs/>
                <w:color w:val="2E75B6"/>
                <w:sz w:val="18"/>
                <w:szCs w:val="18"/>
              </w:rPr>
              <w:t xml:space="preserve">SITUATION: </w:t>
            </w:r>
            <w:r>
              <w:rPr>
                <w:rFonts w:ascii="Arial" w:cs="Arial" w:eastAsia="Arial" w:hAnsi="Arial"/>
                <w:color w:val="1A1A2E"/>
                <w:sz w:val="18"/>
                <w:szCs w:val="18"/>
              </w:rPr>
              <w:t xml:space="preserve">At Moderna, the initial CRO oversight metrics were inconsistent across programs — some teams were tracking monitoring visit completion rates, others were focused on protocol deviation rates, with no standardized framework.</w:t>
            </w:r>
          </w:p>
          <w:p>
            <w:pPr>
              <w:spacing w:before="30" w:after="30"/>
            </w:pPr>
            <w:r>
              <w:rPr>
                <w:rFonts w:ascii="Arial" w:cs="Arial" w:eastAsia="Arial" w:hAnsi="Arial"/>
                <w:b/>
                <w:bCs/>
                <w:color w:val="2E75B6"/>
                <w:sz w:val="18"/>
                <w:szCs w:val="18"/>
              </w:rPr>
              <w:t xml:space="preserve">TASK: </w:t>
            </w:r>
            <w:r>
              <w:rPr>
                <w:rFonts w:ascii="Arial" w:cs="Arial" w:eastAsia="Arial" w:hAnsi="Arial"/>
                <w:color w:val="1A1A2E"/>
                <w:sz w:val="18"/>
                <w:szCs w:val="18"/>
              </w:rPr>
              <w:t xml:space="preserve">As the GCMO lead, I needed to design a unified KPI framework that could scale across programs and vendors while remaining actionable and audit-ready.</w:t>
            </w:r>
          </w:p>
          <w:p>
            <w:pPr>
              <w:spacing w:before="30" w:after="30"/>
            </w:pPr>
            <w:r>
              <w:rPr>
                <w:rFonts w:ascii="Arial" w:cs="Arial" w:eastAsia="Arial" w:hAnsi="Arial"/>
                <w:b/>
                <w:bCs/>
                <w:color w:val="2E75B6"/>
                <w:sz w:val="18"/>
                <w:szCs w:val="18"/>
              </w:rPr>
              <w:t xml:space="preserve">ACTION: </w:t>
            </w:r>
            <w:r>
              <w:rPr>
                <w:rFonts w:ascii="Arial" w:cs="Arial" w:eastAsia="Arial" w:hAnsi="Arial"/>
                <w:color w:val="1A1A2E"/>
                <w:sz w:val="18"/>
                <w:szCs w:val="18"/>
              </w:rPr>
              <w:t xml:space="preserve">I benchmarked against industry standards and ICH-GCP expectations, then worked with CRO partners and internal stakeholders to align on a core metrics set covering monitoring quality, site performance, data quality, and contractual milestones. I also built an escalation logic into the framework — green/yellow/red thresholds with defined response protocols — and established a monthly reporting cadence with stakeholder distribution.</w:t>
            </w:r>
          </w:p>
          <w:p>
            <w:pPr>
              <w:spacing w:before="30" w:after="40"/>
            </w:pPr>
            <w:r>
              <w:rPr>
                <w:rFonts w:ascii="Arial" w:cs="Arial" w:eastAsia="Arial" w:hAnsi="Arial"/>
                <w:b/>
                <w:bCs/>
                <w:color w:val="2E75B6"/>
                <w:sz w:val="18"/>
                <w:szCs w:val="18"/>
              </w:rPr>
              <w:t xml:space="preserve">RESULT: </w:t>
            </w:r>
            <w:r>
              <w:rPr>
                <w:rFonts w:ascii="Arial" w:cs="Arial" w:eastAsia="Arial" w:hAnsi="Arial"/>
                <w:color w:val="1A1A2E"/>
                <w:sz w:val="18"/>
                <w:szCs w:val="18"/>
              </w:rPr>
              <w:t xml:space="preserve">The framework was adopted across the portfolio and became the basis for our quarterly business reviews with CRO partners. Vendor performance trending improved measurably within two reporting cycles because CROs now understood exactly what we were measuring and what the consequences were.</w:t>
            </w:r>
          </w:p>
        </w:tc>
      </w:tr>
    </w:tbl>
    <w:p>
      <w:pPr>
        <w:spacing w:before="100" w:after="0"/>
      </w:pPr>
      <w:r>
        <w:t xml:space="preserve"/>
      </w:r>
    </w:p>
    <w:p>
      <w:pPr>
        <w:spacing w:before="200" w:after="60"/>
      </w:pPr>
      <w:r>
        <w:rPr>
          <w:rFonts w:ascii="Arial" w:cs="Arial" w:eastAsia="Arial" w:hAnsi="Arial"/>
          <w:b/>
          <w:bCs/>
          <w:color w:val="1A1A2E"/>
          <w:sz w:val="22"/>
          <w:szCs w:val="22"/>
        </w:rPr>
        <w:t xml:space="preserve">Q7 — Vendor Selection and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9FF" w:val="clear"/>
            <w:tcMar>
              <w:top w:type="dxa" w:w="120"/>
              <w:left w:type="dxa" w:w="180"/>
              <w:bottom w:type="dxa" w:w="120"/>
              <w:right w:type="dxa" w:w="180"/>
            </w:tcMar>
          </w:tcPr>
          <w:p>
            <w:pPr>
              <w:spacing w:before="40" w:after="80"/>
            </w:pPr>
            <w:r>
              <w:rPr>
                <w:rFonts w:ascii="Arial" w:cs="Arial" w:eastAsia="Arial" w:hAnsi="Arial"/>
                <w:b/>
                <w:bCs/>
                <w:color w:val="1B4F8C"/>
                <w:sz w:val="20"/>
                <w:szCs w:val="20"/>
              </w:rPr>
              <w:t xml:space="preserve">Describe your experience supporting vendor selection or due diligence for a new CRO partnership.</w:t>
            </w:r>
          </w:p>
          <w:p>
            <w:pPr>
              <w:spacing w:before="40" w:after="30"/>
            </w:pPr>
            <w:r>
              <w:rPr>
                <w:rFonts w:ascii="Arial" w:cs="Arial" w:eastAsia="Arial" w:hAnsi="Arial"/>
                <w:b/>
                <w:bCs/>
                <w:color w:val="2E75B6"/>
                <w:sz w:val="18"/>
                <w:szCs w:val="18"/>
              </w:rPr>
              <w:t xml:space="preserve">SITUATION: </w:t>
            </w:r>
            <w:r>
              <w:rPr>
                <w:rFonts w:ascii="Arial" w:cs="Arial" w:eastAsia="Arial" w:hAnsi="Arial"/>
                <w:color w:val="1A1A2E"/>
                <w:sz w:val="18"/>
                <w:szCs w:val="18"/>
              </w:rPr>
              <w:t xml:space="preserve">During a Phase II program expansion at Moderna, we needed to identify and qualify a regional CRO for a new geographic footprint that our existing CRO partners couldn't adequately support.</w:t>
            </w:r>
          </w:p>
          <w:p>
            <w:pPr>
              <w:spacing w:before="30" w:after="30"/>
            </w:pPr>
            <w:r>
              <w:rPr>
                <w:rFonts w:ascii="Arial" w:cs="Arial" w:eastAsia="Arial" w:hAnsi="Arial"/>
                <w:b/>
                <w:bCs/>
                <w:color w:val="2E75B6"/>
                <w:sz w:val="18"/>
                <w:szCs w:val="18"/>
              </w:rPr>
              <w:t xml:space="preserve">TASK: </w:t>
            </w:r>
            <w:r>
              <w:rPr>
                <w:rFonts w:ascii="Arial" w:cs="Arial" w:eastAsia="Arial" w:hAnsi="Arial"/>
                <w:color w:val="1A1A2E"/>
                <w:sz w:val="18"/>
                <w:szCs w:val="18"/>
              </w:rPr>
              <w:t xml:space="preserve">I was asked to lead the due diligence and evaluation process as the Clinical Operations oversight lead.</w:t>
            </w:r>
          </w:p>
          <w:p>
            <w:pPr>
              <w:spacing w:before="30" w:after="30"/>
            </w:pPr>
            <w:r>
              <w:rPr>
                <w:rFonts w:ascii="Arial" w:cs="Arial" w:eastAsia="Arial" w:hAnsi="Arial"/>
                <w:b/>
                <w:bCs/>
                <w:color w:val="2E75B6"/>
                <w:sz w:val="18"/>
                <w:szCs w:val="18"/>
              </w:rPr>
              <w:t xml:space="preserve">ACTION: </w:t>
            </w:r>
            <w:r>
              <w:rPr>
                <w:rFonts w:ascii="Arial" w:cs="Arial" w:eastAsia="Arial" w:hAnsi="Arial"/>
                <w:color w:val="1A1A2E"/>
                <w:sz w:val="18"/>
                <w:szCs w:val="18"/>
              </w:rPr>
              <w:t xml:space="preserve">I developed a structured evaluation framework covering therapeutic area expertise, monitoring capacity, quality metrics from prior programs, financial stability, and system compatibility. I coordinated proposal reviews, facilitated capability presentations, and developed a scoring matrix that we used across a cross-functional evaluation committee including Clinical Development, Finance, and Legal.</w:t>
            </w:r>
          </w:p>
          <w:p>
            <w:pPr>
              <w:spacing w:before="30" w:after="40"/>
            </w:pPr>
            <w:r>
              <w:rPr>
                <w:rFonts w:ascii="Arial" w:cs="Arial" w:eastAsia="Arial" w:hAnsi="Arial"/>
                <w:b/>
                <w:bCs/>
                <w:color w:val="2E75B6"/>
                <w:sz w:val="18"/>
                <w:szCs w:val="18"/>
              </w:rPr>
              <w:t xml:space="preserve">RESULT: </w:t>
            </w:r>
            <w:r>
              <w:rPr>
                <w:rFonts w:ascii="Arial" w:cs="Arial" w:eastAsia="Arial" w:hAnsi="Arial"/>
                <w:color w:val="1A1A2E"/>
                <w:sz w:val="18"/>
                <w:szCs w:val="18"/>
              </w:rPr>
              <w:t xml:space="preserve">We selected a partner that delivered on every major program milestone. The evaluation framework I developed was subsequently adapted as our standard CRO qualification template.</w:t>
            </w:r>
          </w:p>
        </w:tc>
      </w:tr>
    </w:tbl>
    <w:p>
      <w:pPr>
        <w:spacing w:before="100" w:after="0"/>
      </w:pPr>
      <w:r>
        <w:t xml:space="preserve"/>
      </w:r>
    </w:p>
    <w:p>
      <w:pPr>
        <w:pStyle w:val="Heading2"/>
        <w:spacing w:before="280" w:after="80"/>
      </w:pPr>
      <w:r>
        <w:rPr>
          <w:rFonts w:ascii="Arial" w:cs="Arial" w:eastAsia="Arial" w:hAnsi="Arial"/>
          <w:b/>
          <w:bCs/>
          <w:color w:val="2E75B6"/>
          <w:sz w:val="24"/>
          <w:szCs w:val="24"/>
        </w:rPr>
        <w:t xml:space="preserve">Technical / Skill-Specific Questions</w:t>
      </w:r>
    </w:p>
    <w:p>
      <w:pPr>
        <w:pStyle w:val="ListParagraph"/>
        <w:numPr>
          <w:ilvl w:val="0"/>
          <w:numId w:val="2"/>
        </w:numPr>
        <w:spacing w:before="40" w:after="40"/>
      </w:pPr>
      <w:r>
        <w:rPr>
          <w:rFonts w:ascii="Arial" w:cs="Arial" w:eastAsia="Arial" w:hAnsi="Arial"/>
          <w:color w:val="1A1A2E"/>
          <w:sz w:val="20"/>
          <w:szCs w:val="20"/>
        </w:rPr>
        <w:t xml:space="preserve">Walk me through the key components of a vendor governance oversight program — what does a mature program look like and where do most organizations fall short?</w:t>
      </w:r>
    </w:p>
    <w:p>
      <w:pPr>
        <w:pStyle w:val="ListParagraph"/>
        <w:numPr>
          <w:ilvl w:val="0"/>
          <w:numId w:val="2"/>
        </w:numPr>
        <w:spacing w:before="40" w:after="40"/>
      </w:pPr>
      <w:r>
        <w:rPr>
          <w:rFonts w:ascii="Arial" w:cs="Arial" w:eastAsia="Arial" w:hAnsi="Arial"/>
          <w:color w:val="1A1A2E"/>
          <w:sz w:val="20"/>
          <w:szCs w:val="20"/>
        </w:rPr>
        <w:t xml:space="preserve">What does your ideal vendor performance reporting cadence look like — monthly vs. quarterly, and what's in each?</w:t>
      </w:r>
    </w:p>
    <w:p>
      <w:pPr>
        <w:pStyle w:val="ListParagraph"/>
        <w:numPr>
          <w:ilvl w:val="0"/>
          <w:numId w:val="2"/>
        </w:numPr>
        <w:spacing w:before="40" w:after="40"/>
      </w:pPr>
      <w:r>
        <w:rPr>
          <w:rFonts w:ascii="Arial" w:cs="Arial" w:eastAsia="Arial" w:hAnsi="Arial"/>
          <w:color w:val="1A1A2E"/>
          <w:sz w:val="20"/>
          <w:szCs w:val="20"/>
        </w:rPr>
        <w:t xml:space="preserve">How do you approach SOP development for a vendor oversight function? What are the non-negotiables?</w:t>
      </w:r>
    </w:p>
    <w:p>
      <w:pPr>
        <w:pStyle w:val="ListParagraph"/>
        <w:numPr>
          <w:ilvl w:val="0"/>
          <w:numId w:val="2"/>
        </w:numPr>
        <w:spacing w:before="40" w:after="40"/>
      </w:pPr>
      <w:r>
        <w:rPr>
          <w:rFonts w:ascii="Arial" w:cs="Arial" w:eastAsia="Arial" w:hAnsi="Arial"/>
          <w:color w:val="1A1A2E"/>
          <w:sz w:val="20"/>
          <w:szCs w:val="20"/>
        </w:rPr>
        <w:t xml:space="preserve">How do you manage the tension between oversight rigor and vendor relationship health? Where is the line?</w:t>
      </w:r>
    </w:p>
    <w:p>
      <w:pPr>
        <w:pStyle w:val="ListParagraph"/>
        <w:numPr>
          <w:ilvl w:val="0"/>
          <w:numId w:val="2"/>
        </w:numPr>
        <w:spacing w:before="40" w:after="40"/>
      </w:pPr>
      <w:r>
        <w:rPr>
          <w:rFonts w:ascii="Arial" w:cs="Arial" w:eastAsia="Arial" w:hAnsi="Arial"/>
          <w:color w:val="1A1A2E"/>
          <w:sz w:val="20"/>
          <w:szCs w:val="20"/>
        </w:rPr>
        <w:t xml:space="preserve">What eTMF, CTMS, or EDC platforms have you worked with, and how do they factor into your oversight model?</w:t>
      </w:r>
    </w:p>
    <w:p>
      <w:pPr>
        <w:spacing w:before="100" w:after="0"/>
      </w:pPr>
      <w:r>
        <w:t xml:space="preserve"/>
      </w:r>
    </w:p>
    <w:p>
      <w:pPr>
        <w:pStyle w:val="Heading2"/>
        <w:spacing w:before="280" w:after="80"/>
      </w:pPr>
      <w:r>
        <w:rPr>
          <w:rFonts w:ascii="Arial" w:cs="Arial" w:eastAsia="Arial" w:hAnsi="Arial"/>
          <w:b/>
          <w:bCs/>
          <w:color w:val="2E75B6"/>
          <w:sz w:val="24"/>
          <w:szCs w:val="24"/>
        </w:rPr>
        <w:t xml:space="preserve">Smart Questions to Ask the Hiring Manager</w:t>
      </w:r>
    </w:p>
    <w:p>
      <w:pPr>
        <w:pStyle w:val="ListParagraph"/>
        <w:numPr>
          <w:ilvl w:val="0"/>
          <w:numId w:val="2"/>
        </w:numPr>
        <w:spacing w:before="40" w:after="40"/>
      </w:pPr>
      <w:r>
        <w:rPr>
          <w:rFonts w:ascii="Arial" w:cs="Arial" w:eastAsia="Arial" w:hAnsi="Arial"/>
          <w:color w:val="1A1A2E"/>
          <w:sz w:val="20"/>
          <w:szCs w:val="20"/>
        </w:rPr>
        <w:t xml:space="preserve">What does vendor governance look like today at Structure — is this building on an existing foundation, or genuinely starting from scratch?</w:t>
      </w:r>
    </w:p>
    <w:p>
      <w:pPr>
        <w:pStyle w:val="ListParagraph"/>
        <w:numPr>
          <w:ilvl w:val="0"/>
          <w:numId w:val="2"/>
        </w:numPr>
        <w:spacing w:before="40" w:after="40"/>
      </w:pPr>
      <w:r>
        <w:rPr>
          <w:rFonts w:ascii="Arial" w:cs="Arial" w:eastAsia="Arial" w:hAnsi="Arial"/>
          <w:color w:val="1A1A2E"/>
          <w:sz w:val="20"/>
          <w:szCs w:val="20"/>
        </w:rPr>
        <w:t xml:space="preserve">What's the biggest gap in your current CRO oversight infrastructure that this role is meant to close in the first 90 days?</w:t>
      </w:r>
    </w:p>
    <w:p>
      <w:pPr>
        <w:pStyle w:val="ListParagraph"/>
        <w:numPr>
          <w:ilvl w:val="0"/>
          <w:numId w:val="2"/>
        </w:numPr>
        <w:spacing w:before="40" w:after="40"/>
      </w:pPr>
      <w:r>
        <w:rPr>
          <w:rFonts w:ascii="Arial" w:cs="Arial" w:eastAsia="Arial" w:hAnsi="Arial"/>
          <w:color w:val="1A1A2E"/>
          <w:sz w:val="20"/>
          <w:szCs w:val="20"/>
        </w:rPr>
        <w:t xml:space="preserve">How does Clinical Operations interact with Clinical Development and Regulatory at Structure — are these closely integrated or fairly siloed?</w:t>
      </w:r>
    </w:p>
    <w:p>
      <w:pPr>
        <w:pStyle w:val="ListParagraph"/>
        <w:numPr>
          <w:ilvl w:val="0"/>
          <w:numId w:val="2"/>
        </w:numPr>
        <w:spacing w:before="40" w:after="40"/>
      </w:pPr>
      <w:r>
        <w:rPr>
          <w:rFonts w:ascii="Arial" w:cs="Arial" w:eastAsia="Arial" w:hAnsi="Arial"/>
          <w:color w:val="1A1A2E"/>
          <w:sz w:val="20"/>
          <w:szCs w:val="20"/>
        </w:rPr>
        <w:t xml:space="preserve">Who are the key internal stakeholders I'd be aligning with on vendor governance — Clinical Development, Finance, Legal?</w:t>
      </w:r>
    </w:p>
    <w:p>
      <w:pPr>
        <w:pStyle w:val="ListParagraph"/>
        <w:numPr>
          <w:ilvl w:val="0"/>
          <w:numId w:val="2"/>
        </w:numPr>
        <w:spacing w:before="40" w:after="40"/>
      </w:pPr>
      <w:r>
        <w:rPr>
          <w:rFonts w:ascii="Arial" w:cs="Arial" w:eastAsia="Arial" w:hAnsi="Arial"/>
          <w:color w:val="1A1A2E"/>
          <w:sz w:val="20"/>
          <w:szCs w:val="20"/>
        </w:rPr>
        <w:t xml:space="preserve">What does success look like at the six-month mark for this role from your perspective?</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4F8C"/>
          <w:sz w:val="28"/>
          <w:szCs w:val="28"/>
        </w:rPr>
        <w:t xml:space="preserve">4. PANEL / FINAL ROUND PREP</w:t>
      </w:r>
    </w:p>
    <w:p>
      <w:pPr>
        <w:spacing w:before="60" w:after="60"/>
      </w:pPr>
      <w:r>
        <w:rPr>
          <w:rFonts w:ascii="Arial" w:cs="Arial" w:eastAsia="Arial" w:hAnsi="Arial"/>
          <w:b w:val="false"/>
          <w:bCs w:val="false"/>
          <w:i w:val="false"/>
          <w:iCs w:val="false"/>
          <w:color w:val="1A1A2E"/>
          <w:sz w:val="20"/>
          <w:szCs w:val="20"/>
        </w:rPr>
        <w:t xml:space="preserve">If you advance to a panel round, expect a mix of Clinical Operations, Clinical Development, and potentially Finance or Legal stakeholders. Each will have a different lens. The Operations people will probe process. The Development side will probe partnership and communication. Finance or Legal will care about contractual accountability and risk management. Your job is to modulate your language for each audience without changing your substance.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Anticipated Panel Themes</w:t>
      </w:r>
    </w:p>
    <w:p>
      <w:pPr>
        <w:pStyle w:val="ListParagraph"/>
        <w:numPr>
          <w:ilvl w:val="0"/>
          <w:numId w:val="2"/>
        </w:numPr>
        <w:spacing w:before="40" w:after="40"/>
      </w:pPr>
      <w:r>
        <w:rPr>
          <w:rFonts w:ascii="Arial" w:cs="Arial" w:eastAsia="Arial" w:hAnsi="Arial"/>
          <w:b/>
          <w:bCs/>
          <w:color w:val="1A1A2E"/>
          <w:sz w:val="20"/>
          <w:szCs w:val="20"/>
        </w:rPr>
        <w:t xml:space="preserve">Collaboration: </w:t>
      </w:r>
      <w:r>
        <w:rPr>
          <w:rFonts w:ascii="Arial" w:cs="Arial" w:eastAsia="Arial" w:hAnsi="Arial"/>
          <w:color w:val="1A1A2E"/>
          <w:sz w:val="20"/>
          <w:szCs w:val="20"/>
        </w:rPr>
        <w:t xml:space="preserve">How do you work with Clinical Development leads who feel ownership over vendor relationships? How do you build governance structures without creating friction?</w:t>
      </w:r>
    </w:p>
    <w:p>
      <w:pPr>
        <w:pStyle w:val="ListParagraph"/>
        <w:numPr>
          <w:ilvl w:val="0"/>
          <w:numId w:val="2"/>
        </w:numPr>
        <w:spacing w:before="40" w:after="40"/>
      </w:pPr>
      <w:r>
        <w:rPr>
          <w:rFonts w:ascii="Arial" w:cs="Arial" w:eastAsia="Arial" w:hAnsi="Arial"/>
          <w:b/>
          <w:bCs/>
          <w:color w:val="1A1A2E"/>
          <w:sz w:val="20"/>
          <w:szCs w:val="20"/>
        </w:rPr>
        <w:t xml:space="preserve">Conflict &amp; escalation: </w:t>
      </w:r>
      <w:r>
        <w:rPr>
          <w:rFonts w:ascii="Arial" w:cs="Arial" w:eastAsia="Arial" w:hAnsi="Arial"/>
          <w:color w:val="1A1A2E"/>
          <w:sz w:val="20"/>
          <w:szCs w:val="20"/>
        </w:rPr>
        <w:t xml:space="preserve">How have you handled situations where a CRO pushed back on your oversight requirements? How did you manage upward escalation?</w:t>
      </w:r>
    </w:p>
    <w:p>
      <w:pPr>
        <w:pStyle w:val="ListParagraph"/>
        <w:numPr>
          <w:ilvl w:val="0"/>
          <w:numId w:val="2"/>
        </w:numPr>
        <w:spacing w:before="40" w:after="40"/>
      </w:pPr>
      <w:r>
        <w:rPr>
          <w:rFonts w:ascii="Arial" w:cs="Arial" w:eastAsia="Arial" w:hAnsi="Arial"/>
          <w:b/>
          <w:bCs/>
          <w:color w:val="1A1A2E"/>
          <w:sz w:val="20"/>
          <w:szCs w:val="20"/>
        </w:rPr>
        <w:t xml:space="preserve">Decision-making under uncertainty: </w:t>
      </w:r>
      <w:r>
        <w:rPr>
          <w:rFonts w:ascii="Arial" w:cs="Arial" w:eastAsia="Arial" w:hAnsi="Arial"/>
          <w:color w:val="1A1A2E"/>
          <w:sz w:val="20"/>
          <w:szCs w:val="20"/>
        </w:rPr>
        <w:t xml:space="preserve">How do you make judgment calls in a startup environment where the risk tolerance is different than Big Pharma?</w:t>
      </w:r>
    </w:p>
    <w:p>
      <w:pPr>
        <w:pStyle w:val="ListParagraph"/>
        <w:numPr>
          <w:ilvl w:val="0"/>
          <w:numId w:val="2"/>
        </w:numPr>
        <w:spacing w:before="40" w:after="40"/>
      </w:pPr>
      <w:r>
        <w:rPr>
          <w:rFonts w:ascii="Arial" w:cs="Arial" w:eastAsia="Arial" w:hAnsi="Arial"/>
          <w:b/>
          <w:bCs/>
          <w:color w:val="1A1A2E"/>
          <w:sz w:val="20"/>
          <w:szCs w:val="20"/>
        </w:rPr>
        <w:t xml:space="preserve">Communication style: </w:t>
      </w:r>
      <w:r>
        <w:rPr>
          <w:rFonts w:ascii="Arial" w:cs="Arial" w:eastAsia="Arial" w:hAnsi="Arial"/>
          <w:color w:val="1A1A2E"/>
          <w:sz w:val="20"/>
          <w:szCs w:val="20"/>
        </w:rPr>
        <w:t xml:space="preserve">Can you translate vendor performance data into exec-level narratives? Can you write governance reports that a non-ops audience can act on?</w:t>
      </w:r>
    </w:p>
    <w:p>
      <w:pPr>
        <w:pStyle w:val="ListParagraph"/>
        <w:numPr>
          <w:ilvl w:val="0"/>
          <w:numId w:val="2"/>
        </w:numPr>
        <w:spacing w:before="40" w:after="40"/>
      </w:pPr>
      <w:r>
        <w:rPr>
          <w:rFonts w:ascii="Arial" w:cs="Arial" w:eastAsia="Arial" w:hAnsi="Arial"/>
          <w:b/>
          <w:bCs/>
          <w:color w:val="1A1A2E"/>
          <w:sz w:val="20"/>
          <w:szCs w:val="20"/>
        </w:rPr>
        <w:t xml:space="preserve">Program knowledge: </w:t>
      </w:r>
      <w:r>
        <w:rPr>
          <w:rFonts w:ascii="Arial" w:cs="Arial" w:eastAsia="Arial" w:hAnsi="Arial"/>
          <w:color w:val="1A1A2E"/>
          <w:sz w:val="20"/>
          <w:szCs w:val="20"/>
        </w:rPr>
        <w:t xml:space="preserve">Do you understand the clinical development lifecycle at the level required to contextualize vendor oversight in program terms, not just process terms?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Sample Scenario-Based Questions</w:t>
      </w:r>
    </w:p>
    <w:p>
      <w:pPr>
        <w:spacing w:before="200" w:after="60"/>
      </w:pPr>
      <w:r>
        <w:rPr>
          <w:rFonts w:ascii="Arial" w:cs="Arial" w:eastAsia="Arial" w:hAnsi="Arial"/>
          <w:b/>
          <w:bCs/>
          <w:color w:val="1A1A2E"/>
          <w:sz w:val="22"/>
          <w:szCs w:val="22"/>
        </w:rPr>
        <w:t xml:space="preserve">Scenario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A" w:val="clear"/>
            <w:tcMar>
              <w:top w:type="dxa" w:w="120"/>
              <w:left w:type="dxa" w:w="180"/>
              <w:bottom w:type="dxa" w:w="120"/>
              <w:right w:type="dxa" w:w="180"/>
            </w:tcMar>
          </w:tcPr>
          <w:p>
            <w:pPr>
              <w:spacing w:before="40" w:after="40"/>
            </w:pPr>
            <w:r>
              <w:rPr>
                <w:rFonts w:ascii="Arial" w:cs="Arial" w:eastAsia="Arial" w:hAnsi="Arial"/>
                <w:b/>
                <w:bCs/>
                <w:color w:val="1B4F8C"/>
                <w:sz w:val="20"/>
                <w:szCs w:val="20"/>
              </w:rPr>
              <w:t xml:space="preserve">Scenario: </w:t>
            </w:r>
            <w:r>
              <w:rPr>
                <w:rFonts w:ascii="Arial" w:cs="Arial" w:eastAsia="Arial" w:hAnsi="Arial"/>
                <w:i/>
                <w:iCs/>
                <w:color w:val="1A1A2E"/>
                <w:sz w:val="20"/>
                <w:szCs w:val="20"/>
              </w:rPr>
              <w:t xml:space="preserve">Your primary CRO is six weeks behind on site activation for a pivotal trial. The VP of Clinical Development is asking for a status update. Walk us through how you handle this from an oversight perspective.</w:t>
            </w:r>
          </w:p>
        </w:tc>
      </w:tr>
    </w:tbl>
    <w:p>
      <w:pPr>
        <w:spacing w:before="60" w:after="60"/>
      </w:pPr>
      <w:r>
        <w:rPr>
          <w:rFonts w:ascii="Arial" w:cs="Arial" w:eastAsia="Arial" w:hAnsi="Arial"/>
          <w:b w:val="false"/>
          <w:bCs w:val="false"/>
          <w:i w:val="false"/>
          <w:iCs w:val="false"/>
          <w:color w:val="1A1A2E"/>
          <w:sz w:val="20"/>
          <w:szCs w:val="20"/>
        </w:rPr>
        <w:t xml:space="preserve">Suggested framing: Acknowledge the urgency and the stakes, walk through your escalation protocol, explain how you'd prepare the exec update (data-first, not narrative-first), and describe the mitigation plan you'd drive jointly with the CRO. Emphasize the balance between holding the vendor accountable and protecting the program.</w:t>
      </w:r>
    </w:p>
    <w:p>
      <w:pPr>
        <w:spacing w:before="80" w:after="0"/>
      </w:pPr>
      <w:r>
        <w:t xml:space="preserve"/>
      </w:r>
    </w:p>
    <w:p>
      <w:pPr>
        <w:spacing w:before="200" w:after="60"/>
      </w:pPr>
      <w:r>
        <w:rPr>
          <w:rFonts w:ascii="Arial" w:cs="Arial" w:eastAsia="Arial" w:hAnsi="Arial"/>
          <w:b/>
          <w:bCs/>
          <w:color w:val="1A1A2E"/>
          <w:sz w:val="22"/>
          <w:szCs w:val="22"/>
        </w:rPr>
        <w:t xml:space="preserve">Scenario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A" w:val="clear"/>
            <w:tcMar>
              <w:top w:type="dxa" w:w="120"/>
              <w:left w:type="dxa" w:w="180"/>
              <w:bottom w:type="dxa" w:w="120"/>
              <w:right w:type="dxa" w:w="180"/>
            </w:tcMar>
          </w:tcPr>
          <w:p>
            <w:pPr>
              <w:spacing w:before="40" w:after="40"/>
            </w:pPr>
            <w:r>
              <w:rPr>
                <w:rFonts w:ascii="Arial" w:cs="Arial" w:eastAsia="Arial" w:hAnsi="Arial"/>
                <w:b/>
                <w:bCs/>
                <w:color w:val="1B4F8C"/>
                <w:sz w:val="20"/>
                <w:szCs w:val="20"/>
              </w:rPr>
              <w:t xml:space="preserve">Scenario: </w:t>
            </w:r>
            <w:r>
              <w:rPr>
                <w:rFonts w:ascii="Arial" w:cs="Arial" w:eastAsia="Arial" w:hAnsi="Arial"/>
                <w:i/>
                <w:iCs/>
                <w:color w:val="1A1A2E"/>
                <w:sz w:val="20"/>
                <w:szCs w:val="20"/>
              </w:rPr>
              <w:t xml:space="preserve">You're building a new vendor governance program and a senior Clinical Operations colleague disagrees with the KPI framework you're proposing. How do you handle it?</w:t>
            </w:r>
          </w:p>
        </w:tc>
      </w:tr>
    </w:tbl>
    <w:p>
      <w:pPr>
        <w:spacing w:before="60" w:after="60"/>
      </w:pPr>
      <w:r>
        <w:rPr>
          <w:rFonts w:ascii="Arial" w:cs="Arial" w:eastAsia="Arial" w:hAnsi="Arial"/>
          <w:b w:val="false"/>
          <w:bCs w:val="false"/>
          <w:i w:val="false"/>
          <w:iCs w:val="false"/>
          <w:color w:val="1A1A2E"/>
          <w:sz w:val="20"/>
          <w:szCs w:val="20"/>
        </w:rPr>
        <w:t xml:space="preserve">Suggested framing: Lead with curiosity, not defense. Explain how you'd surface their concerns, find the areas of legitimate disagreement versus preference, and either adapt the framework or build consensus. Demonstrate that governance design is collaborative, not unilateral.</w:t>
      </w:r>
    </w:p>
    <w:p>
      <w:pPr>
        <w:spacing w:before="80" w:after="0"/>
      </w:pPr>
      <w:r>
        <w:t xml:space="preserve"/>
      </w:r>
    </w:p>
    <w:p>
      <w:pPr>
        <w:spacing w:before="200" w:after="60"/>
      </w:pPr>
      <w:r>
        <w:rPr>
          <w:rFonts w:ascii="Arial" w:cs="Arial" w:eastAsia="Arial" w:hAnsi="Arial"/>
          <w:b/>
          <w:bCs/>
          <w:color w:val="1A1A2E"/>
          <w:sz w:val="22"/>
          <w:szCs w:val="22"/>
        </w:rPr>
        <w:t xml:space="preserve">Scenario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A" w:val="clear"/>
            <w:tcMar>
              <w:top w:type="dxa" w:w="120"/>
              <w:left w:type="dxa" w:w="180"/>
              <w:bottom w:type="dxa" w:w="120"/>
              <w:right w:type="dxa" w:w="180"/>
            </w:tcMar>
          </w:tcPr>
          <w:p>
            <w:pPr>
              <w:spacing w:before="40" w:after="40"/>
            </w:pPr>
            <w:r>
              <w:rPr>
                <w:rFonts w:ascii="Arial" w:cs="Arial" w:eastAsia="Arial" w:hAnsi="Arial"/>
                <w:b/>
                <w:bCs/>
                <w:color w:val="1B4F8C"/>
                <w:sz w:val="20"/>
                <w:szCs w:val="20"/>
              </w:rPr>
              <w:t xml:space="preserve">Scenario: </w:t>
            </w:r>
            <w:r>
              <w:rPr>
                <w:rFonts w:ascii="Arial" w:cs="Arial" w:eastAsia="Arial" w:hAnsi="Arial"/>
                <w:i/>
                <w:iCs/>
                <w:color w:val="1A1A2E"/>
                <w:sz w:val="20"/>
                <w:szCs w:val="20"/>
              </w:rPr>
              <w:t xml:space="preserve">You're six months into the role. An FDA inspection is announced. How do you assess your program's readiness and what would you prioritize in the preparation sprint?</w:t>
            </w:r>
          </w:p>
        </w:tc>
      </w:tr>
    </w:tbl>
    <w:p>
      <w:pPr>
        <w:spacing w:before="60" w:after="60"/>
      </w:pPr>
      <w:r>
        <w:rPr>
          <w:rFonts w:ascii="Arial" w:cs="Arial" w:eastAsia="Arial" w:hAnsi="Arial"/>
          <w:b w:val="false"/>
          <w:bCs w:val="false"/>
          <w:i w:val="false"/>
          <w:iCs w:val="false"/>
          <w:color w:val="1A1A2E"/>
          <w:sz w:val="20"/>
          <w:szCs w:val="20"/>
        </w:rPr>
        <w:t xml:space="preserve">Suggested framing: Walk through a gap assessment framework — eTMF completeness, oversight documentation, KPI reporting alignment with what FDA will scrutinize. Explain how you'd coordinate with CRO partners and internal Quality. Reference your actual Moderna inspection experience here.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Multi-Interviewer Performance Tips</w:t>
      </w:r>
    </w:p>
    <w:p>
      <w:pPr>
        <w:pStyle w:val="ListParagraph"/>
        <w:numPr>
          <w:ilvl w:val="0"/>
          <w:numId w:val="2"/>
        </w:numPr>
        <w:spacing w:before="40" w:after="40"/>
      </w:pPr>
      <w:r>
        <w:rPr>
          <w:rFonts w:ascii="Arial" w:cs="Arial" w:eastAsia="Arial" w:hAnsi="Arial"/>
          <w:color w:val="1A1A2E"/>
          <w:sz w:val="20"/>
          <w:szCs w:val="20"/>
        </w:rPr>
        <w:t xml:space="preserve">Address the question to the person who asked it, but make eye contact with other panelists as you continue. Everyone in the room is evaluating you.</w:t>
      </w:r>
    </w:p>
    <w:p>
      <w:pPr>
        <w:pStyle w:val="ListParagraph"/>
        <w:numPr>
          <w:ilvl w:val="0"/>
          <w:numId w:val="2"/>
        </w:numPr>
        <w:spacing w:before="40" w:after="40"/>
      </w:pPr>
      <w:r>
        <w:rPr>
          <w:rFonts w:ascii="Arial" w:cs="Arial" w:eastAsia="Arial" w:hAnsi="Arial"/>
          <w:color w:val="1A1A2E"/>
          <w:sz w:val="20"/>
          <w:szCs w:val="20"/>
        </w:rPr>
        <w:t xml:space="preserve">If a question reveals a difference in perspective among panelists (it happens), acknowledge it: 'I've seen this handled different ways — here's the model I'd recommend and why.'</w:t>
      </w:r>
    </w:p>
    <w:p>
      <w:pPr>
        <w:pStyle w:val="ListParagraph"/>
        <w:numPr>
          <w:ilvl w:val="0"/>
          <w:numId w:val="2"/>
        </w:numPr>
        <w:spacing w:before="40" w:after="40"/>
      </w:pPr>
      <w:r>
        <w:rPr>
          <w:rFonts w:ascii="Arial" w:cs="Arial" w:eastAsia="Arial" w:hAnsi="Arial"/>
          <w:color w:val="1A1A2E"/>
          <w:sz w:val="20"/>
          <w:szCs w:val="20"/>
        </w:rPr>
        <w:t xml:space="preserve">Don't mirror jargon back automatically. If a Clinical Development lead asks a question, answer in ops terms and briefly translate. Demonstrates both fluency and communication range.</w:t>
      </w:r>
    </w:p>
    <w:p>
      <w:pPr>
        <w:pStyle w:val="ListParagraph"/>
        <w:numPr>
          <w:ilvl w:val="0"/>
          <w:numId w:val="2"/>
        </w:numPr>
        <w:spacing w:before="40" w:after="40"/>
      </w:pPr>
      <w:r>
        <w:rPr>
          <w:rFonts w:ascii="Arial" w:cs="Arial" w:eastAsia="Arial" w:hAnsi="Arial"/>
          <w:color w:val="1A1A2E"/>
          <w:sz w:val="20"/>
          <w:szCs w:val="20"/>
        </w:rPr>
        <w:t xml:space="preserve">At the end of a panel round, it's appropriate to ask: 'Is there anything about my background that would give you pause for this role?' — this demonstrates confidence and surfaces objections you can address in real time.</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4F8C"/>
          <w:sz w:val="28"/>
          <w:szCs w:val="28"/>
        </w:rPr>
        <w:t xml:space="preserve">5. CULTURE &amp; COMPANY FIT</w:t>
      </w:r>
    </w:p>
    <w:p>
      <w:pPr>
        <w:spacing w:before="60" w:after="60"/>
      </w:pPr>
      <w:r>
        <w:rPr>
          <w:rFonts w:ascii="Arial" w:cs="Arial" w:eastAsia="Arial" w:hAnsi="Arial"/>
          <w:b w:val="false"/>
          <w:bCs w:val="false"/>
          <w:i w:val="false"/>
          <w:iCs w:val="false"/>
          <w:color w:val="1A1A2E"/>
          <w:sz w:val="20"/>
          <w:szCs w:val="20"/>
        </w:rPr>
        <w:t xml:space="preserve">Structure is a clinical-stage biotech with genuine momentum in the GLP-1 space and the operational intensity that comes with heading into Phase 3. The culture is likely fast, flat, and results-oriented — they want people who can operate with autonomy and bring senior-level judgment without needing layers of oversight themselves. Startup experience is explicitly called out as a plus, which tells you they're looking for adaptability and initiative over process adherence for its own sake.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Cultural Alignment Points to Lean Into</w:t>
      </w:r>
    </w:p>
    <w:p>
      <w:pPr>
        <w:pStyle w:val="ListParagraph"/>
        <w:numPr>
          <w:ilvl w:val="0"/>
          <w:numId w:val="2"/>
        </w:numPr>
        <w:spacing w:before="40" w:after="40"/>
      </w:pPr>
      <w:r>
        <w:rPr>
          <w:rFonts w:ascii="Arial" w:cs="Arial" w:eastAsia="Arial" w:hAnsi="Arial"/>
          <w:b/>
          <w:bCs/>
          <w:color w:val="1A1A2E"/>
          <w:sz w:val="20"/>
          <w:szCs w:val="20"/>
        </w:rPr>
        <w:t xml:space="preserve">Builder identity: </w:t>
      </w:r>
      <w:r>
        <w:rPr>
          <w:rFonts w:ascii="Arial" w:cs="Arial" w:eastAsia="Arial" w:hAnsi="Arial"/>
          <w:color w:val="1A1A2E"/>
          <w:sz w:val="20"/>
          <w:szCs w:val="20"/>
        </w:rPr>
        <w:t xml:space="preserve">You've built organizations and infrastructure from scratch, not just managed existing programs. That orientation aligns directly with what a clinical-stage biotech needs.</w:t>
      </w:r>
    </w:p>
    <w:p>
      <w:pPr>
        <w:pStyle w:val="ListParagraph"/>
        <w:numPr>
          <w:ilvl w:val="0"/>
          <w:numId w:val="2"/>
        </w:numPr>
        <w:spacing w:before="40" w:after="40"/>
      </w:pPr>
      <w:r>
        <w:rPr>
          <w:rFonts w:ascii="Arial" w:cs="Arial" w:eastAsia="Arial" w:hAnsi="Arial"/>
          <w:b/>
          <w:bCs/>
          <w:color w:val="1A1A2E"/>
          <w:sz w:val="20"/>
          <w:szCs w:val="20"/>
        </w:rPr>
        <w:t xml:space="preserve">CRO partnership philosophy: </w:t>
      </w:r>
      <w:r>
        <w:rPr>
          <w:rFonts w:ascii="Arial" w:cs="Arial" w:eastAsia="Arial" w:hAnsi="Arial"/>
          <w:color w:val="1A1A2E"/>
          <w:sz w:val="20"/>
          <w:szCs w:val="20"/>
        </w:rPr>
        <w:t xml:space="preserve">You've been on both sides of the CRO relationship. You know how to hold vendors accountable without burning relationships. That's a specific kind of maturity that's hard to fake and easy to verify.</w:t>
      </w:r>
    </w:p>
    <w:p>
      <w:pPr>
        <w:pStyle w:val="ListParagraph"/>
        <w:numPr>
          <w:ilvl w:val="0"/>
          <w:numId w:val="2"/>
        </w:numPr>
        <w:spacing w:before="40" w:after="40"/>
      </w:pPr>
      <w:r>
        <w:rPr>
          <w:rFonts w:ascii="Arial" w:cs="Arial" w:eastAsia="Arial" w:hAnsi="Arial"/>
          <w:b/>
          <w:bCs/>
          <w:color w:val="1A1A2E"/>
          <w:sz w:val="20"/>
          <w:szCs w:val="20"/>
        </w:rPr>
        <w:t xml:space="preserve">GLP-1 program excitement: </w:t>
      </w:r>
      <w:r>
        <w:rPr>
          <w:rFonts w:ascii="Arial" w:cs="Arial" w:eastAsia="Arial" w:hAnsi="Arial"/>
          <w:color w:val="1A1A2E"/>
          <w:sz w:val="20"/>
          <w:szCs w:val="20"/>
        </w:rPr>
        <w:t xml:space="preserve">You were drawn to Structure specifically because of the oral GLP-1 program and Phase 3 momentum. Say that. Enthusiasm for the science signals mission alignment, not just job-seeking.</w:t>
      </w:r>
    </w:p>
    <w:p>
      <w:pPr>
        <w:pStyle w:val="ListParagraph"/>
        <w:numPr>
          <w:ilvl w:val="0"/>
          <w:numId w:val="2"/>
        </w:numPr>
        <w:spacing w:before="40" w:after="40"/>
      </w:pPr>
      <w:r>
        <w:rPr>
          <w:rFonts w:ascii="Arial" w:cs="Arial" w:eastAsia="Arial" w:hAnsi="Arial"/>
          <w:b/>
          <w:bCs/>
          <w:color w:val="1A1A2E"/>
          <w:sz w:val="20"/>
          <w:szCs w:val="20"/>
        </w:rPr>
        <w:t xml:space="preserve">Adaptability: </w:t>
      </w:r>
      <w:r>
        <w:rPr>
          <w:rFonts w:ascii="Arial" w:cs="Arial" w:eastAsia="Arial" w:hAnsi="Arial"/>
          <w:color w:val="1A1A2E"/>
          <w:sz w:val="20"/>
          <w:szCs w:val="20"/>
        </w:rPr>
        <w:t xml:space="preserve">You've navigated program complexity at Moderna across multiple therapeutic areas. You've operated in high-ambiguity environments. That's a direct cultural fit signal.</w:t>
      </w:r>
    </w:p>
    <w:p>
      <w:pPr>
        <w:spacing w:before="80" w:after="0"/>
      </w:pPr>
      <w:r>
        <w:t xml:space="preserve"/>
      </w:r>
    </w:p>
    <w:p>
      <w:pPr>
        <w:pStyle w:val="Heading2"/>
        <w:spacing w:before="280" w:after="80"/>
      </w:pPr>
      <w:r>
        <w:rPr>
          <w:rFonts w:ascii="Arial" w:cs="Arial" w:eastAsia="Arial" w:hAnsi="Arial"/>
          <w:b/>
          <w:bCs/>
          <w:color w:val="2E75B6"/>
          <w:sz w:val="24"/>
          <w:szCs w:val="24"/>
        </w:rPr>
        <w:t xml:space="preserve">What to Avoid</w:t>
      </w:r>
    </w:p>
    <w:p>
      <w:pPr>
        <w:pStyle w:val="ListParagraph"/>
        <w:numPr>
          <w:ilvl w:val="0"/>
          <w:numId w:val="2"/>
        </w:numPr>
        <w:spacing w:before="40" w:after="40"/>
      </w:pPr>
      <w:r>
        <w:rPr>
          <w:rFonts w:ascii="Arial" w:cs="Arial" w:eastAsia="Arial" w:hAnsi="Arial"/>
          <w:color w:val="1A1A2E"/>
          <w:sz w:val="20"/>
          <w:szCs w:val="20"/>
        </w:rPr>
        <w:t xml:space="preserve">Don't over-reference Moderna's scale or resources. Structure is a different environment. Reframe your Moderna experience as 'here's what I built' rather than 'here's what I had.'</w:t>
      </w:r>
    </w:p>
    <w:p>
      <w:pPr>
        <w:pStyle w:val="ListParagraph"/>
        <w:numPr>
          <w:ilvl w:val="0"/>
          <w:numId w:val="2"/>
        </w:numPr>
        <w:spacing w:before="40" w:after="40"/>
      </w:pPr>
      <w:r>
        <w:rPr>
          <w:rFonts w:ascii="Arial" w:cs="Arial" w:eastAsia="Arial" w:hAnsi="Arial"/>
          <w:color w:val="1A1A2E"/>
          <w:sz w:val="20"/>
          <w:szCs w:val="20"/>
        </w:rPr>
        <w:t xml:space="preserve">Don't position yourself as a policy enforcer. Frame your governance work as enabling program success, not as compliance surveillance.</w:t>
      </w:r>
    </w:p>
    <w:p>
      <w:pPr>
        <w:pStyle w:val="ListParagraph"/>
        <w:numPr>
          <w:ilvl w:val="0"/>
          <w:numId w:val="2"/>
        </w:numPr>
        <w:spacing w:before="40" w:after="40"/>
      </w:pPr>
      <w:r>
        <w:rPr>
          <w:rFonts w:ascii="Arial" w:cs="Arial" w:eastAsia="Arial" w:hAnsi="Arial"/>
          <w:color w:val="1A1A2E"/>
          <w:sz w:val="20"/>
          <w:szCs w:val="20"/>
        </w:rPr>
        <w:t xml:space="preserve">Don't make location logistics feel uncertain. Have a clear, confident answer about traveling monthly for Connections Week — you've thought about it and you're ready.</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4F8C"/>
          <w:sz w:val="28"/>
          <w:szCs w:val="28"/>
        </w:rPr>
        <w:t xml:space="preserve">6. CURATED QUESTIONS BY STAGE</w:t>
      </w:r>
    </w:p>
    <w:p>
      <w:pPr>
        <w:pStyle w:val="Heading2"/>
        <w:spacing w:before="280" w:after="80"/>
      </w:pPr>
      <w:r>
        <w:rPr>
          <w:rFonts w:ascii="Arial" w:cs="Arial" w:eastAsia="Arial" w:hAnsi="Arial"/>
          <w:b/>
          <w:bCs/>
          <w:color w:val="2E75B6"/>
          <w:sz w:val="24"/>
          <w:szCs w:val="24"/>
        </w:rPr>
        <w:t xml:space="preserve">Round 1 — Initial Screening / Recruiter</w:t>
      </w:r>
    </w:p>
    <w:p>
      <w:pPr>
        <w:pStyle w:val="ListParagraph"/>
        <w:numPr>
          <w:ilvl w:val="0"/>
          <w:numId w:val="2"/>
        </w:numPr>
        <w:spacing w:before="40" w:after="40"/>
      </w:pPr>
      <w:r>
        <w:rPr>
          <w:rFonts w:ascii="Arial" w:cs="Arial" w:eastAsia="Arial" w:hAnsi="Arial"/>
          <w:color w:val="1A1A2E"/>
          <w:sz w:val="20"/>
          <w:szCs w:val="20"/>
        </w:rPr>
        <w:t xml:space="preserve">Can you tell me more about the current state of vendor governance at Structure and what the immediate priorities are for this role?</w:t>
      </w:r>
    </w:p>
    <w:p>
      <w:pPr>
        <w:pStyle w:val="ListParagraph"/>
        <w:numPr>
          <w:ilvl w:val="0"/>
          <w:numId w:val="2"/>
        </w:numPr>
        <w:spacing w:before="40" w:after="40"/>
      </w:pPr>
      <w:r>
        <w:rPr>
          <w:rFonts w:ascii="Arial" w:cs="Arial" w:eastAsia="Arial" w:hAnsi="Arial"/>
          <w:color w:val="1A1A2E"/>
          <w:sz w:val="20"/>
          <w:szCs w:val="20"/>
        </w:rPr>
        <w:t xml:space="preserve">What does the contract structure look like — is there a defined term, and is there potential for extension or conversion?</w:t>
      </w:r>
    </w:p>
    <w:p>
      <w:pPr>
        <w:pStyle w:val="ListParagraph"/>
        <w:numPr>
          <w:ilvl w:val="0"/>
          <w:numId w:val="2"/>
        </w:numPr>
        <w:spacing w:before="40" w:after="40"/>
      </w:pPr>
      <w:r>
        <w:rPr>
          <w:rFonts w:ascii="Arial" w:cs="Arial" w:eastAsia="Arial" w:hAnsi="Arial"/>
          <w:color w:val="1A1A2E"/>
          <w:sz w:val="20"/>
          <w:szCs w:val="20"/>
        </w:rPr>
        <w:t xml:space="preserve">Who would I be working most closely with day-to-day, and how does the Clinical Ops team interact with Clinical Development?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Round 2 — Hiring Manager (Hadley or equivalent)</w:t>
      </w:r>
    </w:p>
    <w:p>
      <w:pPr>
        <w:pStyle w:val="ListParagraph"/>
        <w:numPr>
          <w:ilvl w:val="0"/>
          <w:numId w:val="2"/>
        </w:numPr>
        <w:spacing w:before="40" w:after="40"/>
      </w:pPr>
      <w:r>
        <w:rPr>
          <w:rFonts w:ascii="Arial" w:cs="Arial" w:eastAsia="Arial" w:hAnsi="Arial"/>
          <w:color w:val="1A1A2E"/>
          <w:sz w:val="20"/>
          <w:szCs w:val="20"/>
        </w:rPr>
        <w:t xml:space="preserve">What does the vendor ecosystem look like today — how many CROs are active, and what's the complexity of the oversight landscape you'd want me to address first?</w:t>
      </w:r>
    </w:p>
    <w:p>
      <w:pPr>
        <w:pStyle w:val="ListParagraph"/>
        <w:numPr>
          <w:ilvl w:val="0"/>
          <w:numId w:val="2"/>
        </w:numPr>
        <w:spacing w:before="40" w:after="40"/>
      </w:pPr>
      <w:r>
        <w:rPr>
          <w:rFonts w:ascii="Arial" w:cs="Arial" w:eastAsia="Arial" w:hAnsi="Arial"/>
          <w:color w:val="1A1A2E"/>
          <w:sz w:val="20"/>
          <w:szCs w:val="20"/>
        </w:rPr>
        <w:t xml:space="preserve">What's been tried before in terms of vendor governance, and where did previous efforts fall short?</w:t>
      </w:r>
    </w:p>
    <w:p>
      <w:pPr>
        <w:pStyle w:val="ListParagraph"/>
        <w:numPr>
          <w:ilvl w:val="0"/>
          <w:numId w:val="2"/>
        </w:numPr>
        <w:spacing w:before="40" w:after="40"/>
      </w:pPr>
      <w:r>
        <w:rPr>
          <w:rFonts w:ascii="Arial" w:cs="Arial" w:eastAsia="Arial" w:hAnsi="Arial"/>
          <w:color w:val="1A1A2E"/>
          <w:sz w:val="20"/>
          <w:szCs w:val="20"/>
        </w:rPr>
        <w:t xml:space="preserve">How does Clinical Operations collaborate with Regulatory Affairs at Structure, particularly around inspection readiness?</w:t>
      </w:r>
    </w:p>
    <w:p>
      <w:pPr>
        <w:pStyle w:val="ListParagraph"/>
        <w:numPr>
          <w:ilvl w:val="0"/>
          <w:numId w:val="2"/>
        </w:numPr>
        <w:spacing w:before="40" w:after="40"/>
      </w:pPr>
      <w:r>
        <w:rPr>
          <w:rFonts w:ascii="Arial" w:cs="Arial" w:eastAsia="Arial" w:hAnsi="Arial"/>
          <w:color w:val="1A1A2E"/>
          <w:sz w:val="20"/>
          <w:szCs w:val="20"/>
        </w:rPr>
        <w:t xml:space="preserve">What internal tools and systems (CTMS, eTMF, reporting platforms) are currently in use that I'd be building within?</w:t>
      </w:r>
    </w:p>
    <w:p>
      <w:pPr>
        <w:pStyle w:val="ListParagraph"/>
        <w:numPr>
          <w:ilvl w:val="0"/>
          <w:numId w:val="2"/>
        </w:numPr>
        <w:spacing w:before="40" w:after="40"/>
      </w:pPr>
      <w:r>
        <w:rPr>
          <w:rFonts w:ascii="Arial" w:cs="Arial" w:eastAsia="Arial" w:hAnsi="Arial"/>
          <w:color w:val="1A1A2E"/>
          <w:sz w:val="20"/>
          <w:szCs w:val="20"/>
        </w:rPr>
        <w:t xml:space="preserve">What does Connections Week look like — what are the expectations for on-site time and what does that week typically include?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Round 3 — Panel</w:t>
      </w:r>
    </w:p>
    <w:p>
      <w:pPr>
        <w:pStyle w:val="ListParagraph"/>
        <w:numPr>
          <w:ilvl w:val="0"/>
          <w:numId w:val="2"/>
        </w:numPr>
        <w:spacing w:before="40" w:after="40"/>
      </w:pPr>
      <w:r>
        <w:rPr>
          <w:rFonts w:ascii="Arial" w:cs="Arial" w:eastAsia="Arial" w:hAnsi="Arial"/>
          <w:color w:val="1A1A2E"/>
          <w:sz w:val="20"/>
          <w:szCs w:val="20"/>
        </w:rPr>
        <w:t xml:space="preserve">From your perspective, what's the single most important thing the vendor governance program needs to accomplish in the first 90 days?</w:t>
      </w:r>
    </w:p>
    <w:p>
      <w:pPr>
        <w:pStyle w:val="ListParagraph"/>
        <w:numPr>
          <w:ilvl w:val="0"/>
          <w:numId w:val="2"/>
        </w:numPr>
        <w:spacing w:before="40" w:after="40"/>
      </w:pPr>
      <w:r>
        <w:rPr>
          <w:rFonts w:ascii="Arial" w:cs="Arial" w:eastAsia="Arial" w:hAnsi="Arial"/>
          <w:color w:val="1A1A2E"/>
          <w:sz w:val="20"/>
          <w:szCs w:val="20"/>
        </w:rPr>
        <w:t xml:space="preserve">How does Clinical Development leadership typically engage with vendor oversight — is there appetite for a governance model that requires their participation, or do they prefer a more hands-off relationship?</w:t>
      </w:r>
    </w:p>
    <w:p>
      <w:pPr>
        <w:pStyle w:val="ListParagraph"/>
        <w:numPr>
          <w:ilvl w:val="0"/>
          <w:numId w:val="2"/>
        </w:numPr>
        <w:spacing w:before="40" w:after="40"/>
      </w:pPr>
      <w:r>
        <w:rPr>
          <w:rFonts w:ascii="Arial" w:cs="Arial" w:eastAsia="Arial" w:hAnsi="Arial"/>
          <w:color w:val="1A1A2E"/>
          <w:sz w:val="20"/>
          <w:szCs w:val="20"/>
        </w:rPr>
        <w:t xml:space="preserve">What would make you confident that you made the right hire for this role six months from now?</w:t>
      </w:r>
    </w:p>
    <w:p>
      <w:pPr>
        <w:pStyle w:val="ListParagraph"/>
        <w:numPr>
          <w:ilvl w:val="0"/>
          <w:numId w:val="2"/>
        </w:numPr>
        <w:spacing w:before="40" w:after="40"/>
      </w:pPr>
      <w:r>
        <w:rPr>
          <w:rFonts w:ascii="Arial" w:cs="Arial" w:eastAsia="Arial" w:hAnsi="Arial"/>
          <w:color w:val="1A1A2E"/>
          <w:sz w:val="20"/>
          <w:szCs w:val="20"/>
        </w:rPr>
        <w:t xml:space="preserve">Are there any active audits, inspections, or regulatory interactions on the horizon that I should be aware of as I orient to the role?</w:t>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space="2"/>
              <w:left w:val="none" w:color="FFFFFF" w:sz="0"/>
              <w:bottom w:val="none" w:color="FFFFFF" w:sz="0"/>
              <w:right w:val="none" w:color="FFFFFF" w:sz="0"/>
            </w:tcBorders>
            <w:tcMar>
              <w:top w:type="dxa" w:w="120"/>
              <w:left w:type="dxa" w:w="0"/>
              <w:bottom w:type="dxa" w:w="80"/>
              <w:right w:type="dxa" w:w="0"/>
            </w:tcMar>
          </w:tcPr>
          <w:p>
            <w:pPr>
              <w:jc w:val="center"/>
            </w:pPr>
            <w:r>
              <w:rPr>
                <w:rFonts w:ascii="Arial" w:cs="Arial" w:eastAsia="Arial" w:hAnsi="Arial"/>
                <w:i/>
                <w:iCs/>
                <w:color w:val="555555"/>
                <w:sz w:val="16"/>
                <w:szCs w:val="16"/>
              </w:rPr>
              <w:t xml:space="preserve">Prepared by Bryan Blair, VP Biotech &amp; Pharma Recruiting | GQR Global Markets | March 2026</w:t>
            </w:r>
          </w:p>
          <w:p>
            <w:pPr>
              <w:jc w:val="center"/>
            </w:pPr>
            <w:r>
              <w:rPr>
                <w:rFonts w:ascii="Arial" w:cs="Arial" w:eastAsia="Arial" w:hAnsi="Arial"/>
                <w:i/>
                <w:iCs/>
                <w:color w:val="555555"/>
                <w:sz w:val="16"/>
                <w:szCs w:val="16"/>
              </w:rPr>
              <w:t xml:space="preserve">Confidential — for Kristi O'Rorke only. Not for distribution.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C"/>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2026-03-12T16:50:00.143Z</dcterms:created>
  <dcterms:modified xsi:type="dcterms:W3CDTF">2026-03-12T16:50:00.145Z</dcterms:modified>
</cp:coreProperties>
</file>

<file path=docProps/custom.xml><?xml version="1.0" encoding="utf-8"?>
<Properties xmlns="http://schemas.openxmlformats.org/officeDocument/2006/custom-properties" xmlns:vt="http://schemas.openxmlformats.org/officeDocument/2006/docPropsVTypes"/>
</file>