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60"/>
              <w:left w:type="dxa" w:w="360"/>
              <w:bottom w:type="dxa" w:w="360"/>
              <w:right w:type="dxa" w:w="360"/>
            </w:tcMar>
          </w:tcPr>
          <w:p>
            <w:pPr>
              <w:jc w:val="center"/>
            </w:pPr>
            <w:r>
              <w:rPr>
                <w:rFonts w:ascii="Arial" w:cs="Arial" w:eastAsia="Arial" w:hAnsi="Arial"/>
                <w:b/>
                <w:bCs/>
                <w:caps/>
                <w:color w:val="9CB8E8"/>
                <w:sz w:val="18"/>
                <w:szCs w:val="18"/>
              </w:rPr>
              <w:t xml:space="preserve">INTERVIEW PREPARATION GUIDE</w:t>
            </w:r>
          </w:p>
          <w:p>
            <w:pPr>
              <w:spacing w:before="80"/>
              <w:jc w:val="center"/>
            </w:pPr>
            <w:r>
              <w:rPr>
                <w:rFonts w:ascii="Arial" w:cs="Arial" w:eastAsia="Arial" w:hAnsi="Arial"/>
                <w:b/>
                <w:bCs/>
                <w:color w:val="FFFFFF"/>
                <w:sz w:val="40"/>
                <w:szCs w:val="40"/>
              </w:rPr>
              <w:t xml:space="preserve">Ping He</w:t>
            </w:r>
          </w:p>
          <w:p>
            <w:pPr>
              <w:spacing w:before="60"/>
              <w:jc w:val="center"/>
            </w:pPr>
            <w:r>
              <w:rPr>
                <w:rFonts w:ascii="Arial" w:cs="Arial" w:eastAsia="Arial" w:hAnsi="Arial"/>
                <w:color w:val="BDD7F5"/>
                <w:sz w:val="26"/>
                <w:szCs w:val="26"/>
              </w:rPr>
              <w:t xml:space="preserve">Associate Director, Biostatistics</w:t>
            </w:r>
          </w:p>
          <w:p>
            <w:pPr>
              <w:spacing w:before="60"/>
              <w:jc w:val="center"/>
            </w:pPr>
            <w:r>
              <w:rPr>
                <w:rFonts w:ascii="Arial" w:cs="Arial" w:eastAsia="Arial" w:hAnsi="Arial"/>
                <w:i/>
                <w:iCs/>
                <w:color w:val="9CB8E8"/>
                <w:sz w:val="19"/>
                <w:szCs w:val="19"/>
              </w:rPr>
              <w:t xml:space="preserve">Apogee Therapeutics  ·  Prepared by GQR Global Markets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6B7280"/>
                <w:sz w:val="18"/>
                <w:szCs w:val="18"/>
              </w:rPr>
              <w:t xml:space="preserve">Company</w:t>
            </w:r>
          </w:p>
          <w:p>
            <w:r>
              <w:rPr>
                <w:rFonts w:ascii="Arial" w:cs="Arial" w:eastAsia="Arial" w:hAnsi="Arial"/>
                <w:color w:val="111827"/>
                <w:sz w:val="20"/>
                <w:szCs w:val="20"/>
              </w:rPr>
              <w:t xml:space="preserve">Apogee Therapeutics (APGE)</w:t>
            </w:r>
          </w:p>
        </w:tc>
        <w:tc>
          <w:tcPr>
            <w:tcW w:type="dxa" w:w="4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Arial" w:cs="Arial" w:eastAsia="Arial" w:hAnsi="Arial"/>
                <w:b/>
                <w:bCs/>
                <w:color w:val="6B7280"/>
                <w:sz w:val="18"/>
                <w:szCs w:val="18"/>
              </w:rPr>
              <w:t xml:space="preserve">Role</w:t>
            </w:r>
          </w:p>
          <w:p>
            <w:r>
              <w:rPr>
                <w:rFonts w:ascii="Arial" w:cs="Arial" w:eastAsia="Arial" w:hAnsi="Arial"/>
                <w:color w:val="111827"/>
                <w:sz w:val="20"/>
                <w:szCs w:val="20"/>
              </w:rPr>
              <w:t xml:space="preserve">Associate Director, Biostatistics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8"/>
                <w:szCs w:val="18"/>
              </w:rPr>
              <w:t xml:space="preserve">First Interview With</w:t>
            </w:r>
          </w:p>
          <w:p>
            <w:r>
              <w:rPr>
                <w:rFonts w:ascii="Arial" w:cs="Arial" w:eastAsia="Arial" w:hAnsi="Arial"/>
                <w:color w:val="111827"/>
                <w:sz w:val="20"/>
                <w:szCs w:val="20"/>
              </w:rPr>
              <w:t xml:space="preserve">Jimmy Yaji (HR Screening)</w:t>
            </w:r>
          </w:p>
        </w:tc>
        <w:tc>
          <w:tcPr>
            <w:tcW w:type="dxa" w:w="4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6B7280"/>
                <w:sz w:val="18"/>
                <w:szCs w:val="18"/>
              </w:rPr>
              <w:t xml:space="preserve">Hiring Managers</w:t>
            </w:r>
          </w:p>
          <w:p>
            <w:r>
              <w:rPr>
                <w:rFonts w:ascii="Arial" w:cs="Arial" w:eastAsia="Arial" w:hAnsi="Arial"/>
                <w:color w:val="111827"/>
                <w:sz w:val="20"/>
                <w:szCs w:val="20"/>
              </w:rPr>
              <w:t xml:space="preserve">Richard Willey &amp; Cindy Wu</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8"/>
                <w:szCs w:val="18"/>
              </w:rPr>
              <w:t xml:space="preserve">Stage</w:t>
            </w:r>
          </w:p>
          <w:p>
            <w:r>
              <w:rPr>
                <w:rFonts w:ascii="Arial" w:cs="Arial" w:eastAsia="Arial" w:hAnsi="Arial"/>
                <w:color w:val="111827"/>
                <w:sz w:val="20"/>
                <w:szCs w:val="20"/>
              </w:rPr>
              <w:t xml:space="preserve">Clinical-Stage  |  Nasdaq: APGE</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B7280"/>
                <w:sz w:val="18"/>
                <w:szCs w:val="18"/>
              </w:rPr>
              <w:t xml:space="preserve">Salary Range</w:t>
            </w:r>
          </w:p>
          <w:p>
            <w:r>
              <w:rPr>
                <w:rFonts w:ascii="Arial" w:cs="Arial" w:eastAsia="Arial" w:hAnsi="Arial"/>
                <w:color w:val="111827"/>
                <w:sz w:val="20"/>
                <w:szCs w:val="20"/>
              </w:rPr>
              <w:t xml:space="preserve">$195,000 – $215,000 + bonus + equity</w:t>
            </w:r>
          </w:p>
        </w:tc>
      </w:tr>
    </w:tbl>
    <w:p>
      <w:pPr>
        <w:spacing w:before="240" w:after="0"/>
      </w:pPr>
      <w:r>
        <w:t xml:space="preserve"/>
      </w:r>
    </w:p>
    <w:p>
      <w:pPr>
        <w:pBdr>
          <w:bottom w:val="single" w:color="2563EB" w:sz="8" w:space="4"/>
        </w:pBdr>
        <w:spacing w:before="360" w:after="120"/>
      </w:pPr>
      <w:r>
        <w:rPr>
          <w:rFonts w:ascii="Arial" w:cs="Arial" w:eastAsia="Arial" w:hAnsi="Arial"/>
          <w:b/>
          <w:bCs/>
          <w:color w:val="1B3A6B"/>
          <w:sz w:val="28"/>
          <w:szCs w:val="28"/>
        </w:rPr>
        <w:t xml:space="preserve">1  |  Role Overview &amp; Key Themes</w:t>
      </w:r>
    </w:p>
    <w:p>
      <w:pPr>
        <w:spacing w:before="40" w:after="40"/>
      </w:pPr>
      <w:r>
        <w:rPr>
          <w:rFonts w:ascii="Arial" w:cs="Arial" w:eastAsia="Arial" w:hAnsi="Arial"/>
          <w:b w:val="false"/>
          <w:bCs w:val="false"/>
          <w:color w:val="111827"/>
          <w:sz w:val="20"/>
          <w:szCs w:val="20"/>
        </w:rPr>
        <w:t xml:space="preserve">Apogee Therapeutics is a well-funded, Nasdaq-listed clinical-stage biotech founded in 2022, targeting unmet needs in inflammation and immunology (I&amp;I). Their lead program, APG777 (zumilokibart), is a half-life-extended IL-13 antibody in Phase 2 for atopic dermatitis—with key clinical readouts expected through 2026. A second combination program targeting IL-13 and OX40L could outperform current standards of care. The company has runway into 2028 and is building internal statistical capacity as it prepares for late-stage clinical execution.</w:t>
      </w:r>
    </w:p>
    <w:p>
      <w:pPr>
        <w:spacing w:before="80" w:after="0"/>
      </w:pPr>
      <w:r>
        <w:t xml:space="preserve"/>
      </w:r>
    </w:p>
    <w:p>
      <w:pPr>
        <w:spacing w:before="40" w:after="40"/>
      </w:pPr>
      <w:r>
        <w:rPr>
          <w:rFonts w:ascii="Arial" w:cs="Arial" w:eastAsia="Arial" w:hAnsi="Arial"/>
          <w:b w:val="false"/>
          <w:bCs w:val="false"/>
          <w:color w:val="111827"/>
          <w:sz w:val="20"/>
          <w:szCs w:val="20"/>
        </w:rPr>
        <w:t xml:space="preserve">The Associate Director of Biostatistics sits at the center of this build-out: you will serve as statistical lead on one or more Phase 2/3 studies, authoring and reviewing SAPs, overseeing CRO biostatistics teams, and providing direct input into regulatory submissions and interactions. This is not a support role—it is a leadership seat at the clinical development table.</w:t>
      </w:r>
    </w:p>
    <w:p>
      <w:pPr>
        <w:spacing w:before="80" w:after="0"/>
      </w:pPr>
      <w:r>
        <w:t xml:space="preserve"/>
      </w:r>
    </w:p>
    <w:p>
      <w:pPr>
        <w:spacing w:before="160" w:after="60"/>
      </w:pPr>
      <w:r>
        <w:rPr>
          <w:rFonts w:ascii="Arial" w:cs="Arial" w:eastAsia="Arial" w:hAnsi="Arial"/>
          <w:b/>
          <w:bCs/>
          <w:color w:val="1B3A6B"/>
          <w:sz w:val="20"/>
          <w:szCs w:val="20"/>
        </w:rPr>
        <w:t xml:space="preserve">Key Themes Across All Interviews</w:t>
      </w:r>
    </w:p>
    <w:p>
      <w:pPr>
        <w:pStyle w:val="ListParagraph"/>
        <w:numPr>
          <w:ilvl w:val="0"/>
          <w:numId w:val="2"/>
        </w:numPr>
        <w:spacing w:before="40" w:after="40"/>
      </w:pPr>
      <w:r>
        <w:rPr>
          <w:rFonts w:ascii="Arial" w:cs="Arial" w:eastAsia="Arial" w:hAnsi="Arial"/>
          <w:color w:val="111827"/>
          <w:sz w:val="20"/>
          <w:szCs w:val="20"/>
        </w:rPr>
        <w:t xml:space="preserve">Statistical leadership — not just execution. Apogee wants someone who can independently drive study design, methodology decisions, and regulatory strategy.</w:t>
      </w:r>
    </w:p>
    <w:p>
      <w:pPr>
        <w:pStyle w:val="ListParagraph"/>
        <w:numPr>
          <w:ilvl w:val="0"/>
          <w:numId w:val="2"/>
        </w:numPr>
        <w:spacing w:before="40" w:after="40"/>
      </w:pPr>
      <w:r>
        <w:rPr>
          <w:rFonts w:ascii="Arial" w:cs="Arial" w:eastAsia="Arial" w:hAnsi="Arial"/>
          <w:color w:val="111827"/>
          <w:sz w:val="20"/>
          <w:szCs w:val="20"/>
        </w:rPr>
        <w:t xml:space="preserve">CRO oversight and vendor accountability. They are reducing reliance on external vendors; your ability to guide and quality-check CROs is critical.</w:t>
      </w:r>
    </w:p>
    <w:p>
      <w:pPr>
        <w:pStyle w:val="ListParagraph"/>
        <w:numPr>
          <w:ilvl w:val="0"/>
          <w:numId w:val="2"/>
        </w:numPr>
        <w:spacing w:before="40" w:after="40"/>
      </w:pPr>
      <w:r>
        <w:rPr>
          <w:rFonts w:ascii="Arial" w:cs="Arial" w:eastAsia="Arial" w:hAnsi="Arial"/>
          <w:color w:val="111827"/>
          <w:sz w:val="20"/>
          <w:szCs w:val="20"/>
        </w:rPr>
        <w:t xml:space="preserve">Cross-functional communication. You will present complex statistics to non-statisticians—clinicians, operations, and regulatory colleagues.</w:t>
      </w:r>
    </w:p>
    <w:p>
      <w:pPr>
        <w:pStyle w:val="ListParagraph"/>
        <w:numPr>
          <w:ilvl w:val="0"/>
          <w:numId w:val="2"/>
        </w:numPr>
        <w:spacing w:before="40" w:after="40"/>
      </w:pPr>
      <w:r>
        <w:rPr>
          <w:rFonts w:ascii="Arial" w:cs="Arial" w:eastAsia="Arial" w:hAnsi="Arial"/>
          <w:color w:val="111827"/>
          <w:sz w:val="20"/>
          <w:szCs w:val="20"/>
        </w:rPr>
        <w:t xml:space="preserve">Adaptability and speed. This is a lean, high-growth biotech. Ambiguity, shifting priorities, and wearing multiple hats are the norm.</w:t>
      </w:r>
    </w:p>
    <w:p>
      <w:pPr>
        <w:pStyle w:val="ListParagraph"/>
        <w:numPr>
          <w:ilvl w:val="0"/>
          <w:numId w:val="2"/>
        </w:numPr>
        <w:spacing w:before="40" w:after="40"/>
      </w:pPr>
      <w:r>
        <w:rPr>
          <w:rFonts w:ascii="Arial" w:cs="Arial" w:eastAsia="Arial" w:hAnsi="Arial"/>
          <w:color w:val="111827"/>
          <w:sz w:val="20"/>
          <w:szCs w:val="20"/>
        </w:rPr>
        <w:t xml:space="preserve">Cultural alignment to C.O.R.E. values: Caring, Original, Resilient, Egoless. Every interviewer will be evaluating fit against these principles.</w:t>
      </w:r>
    </w:p>
    <w:p>
      <w:pPr>
        <w:spacing w:before="120" w:after="0"/>
      </w:pPr>
      <w:r>
        <w:t xml:space="preserve"/>
      </w:r>
    </w:p>
    <w:p>
      <w:pPr>
        <w:pBdr>
          <w:bottom w:val="single" w:color="2563EB" w:sz="8" w:space="4"/>
        </w:pBdr>
        <w:spacing w:before="360" w:after="120"/>
      </w:pPr>
      <w:r>
        <w:rPr>
          <w:rFonts w:ascii="Arial" w:cs="Arial" w:eastAsia="Arial" w:hAnsi="Arial"/>
          <w:b/>
          <w:bCs/>
          <w:color w:val="1B3A6B"/>
          <w:sz w:val="28"/>
          <w:szCs w:val="28"/>
        </w:rPr>
        <w:t xml:space="preserve">2  |  Candidate Fit Summary</w:t>
      </w:r>
    </w:p>
    <w:p>
      <w:pPr>
        <w:spacing w:before="240" w:after="80"/>
      </w:pPr>
      <w:r>
        <w:rPr>
          <w:rFonts w:ascii="Arial" w:cs="Arial" w:eastAsia="Arial" w:hAnsi="Arial"/>
          <w:b/>
          <w:bCs/>
          <w:color w:val="2563EB"/>
          <w:sz w:val="22"/>
          <w:szCs w:val="22"/>
        </w:rPr>
        <w:t xml:space="preserve">Strengths to Highlight</w:t>
      </w:r>
    </w:p>
    <w:p>
      <w:pPr>
        <w:pStyle w:val="ListParagraph"/>
        <w:numPr>
          <w:ilvl w:val="0"/>
          <w:numId w:val="2"/>
        </w:numPr>
        <w:spacing w:before="40" w:after="40"/>
      </w:pPr>
      <w:r>
        <w:rPr>
          <w:rFonts w:ascii="Arial" w:cs="Arial" w:eastAsia="Arial" w:hAnsi="Arial"/>
          <w:color w:val="111827"/>
          <w:sz w:val="20"/>
          <w:szCs w:val="20"/>
        </w:rPr>
        <w:t xml:space="preserve">20 years of progressive biostatistics experience spanning Phase I–IV across immunology, rare disease, gene therapy, and cardiovascular—depth that most candidates at this level cannot match.</w:t>
      </w:r>
    </w:p>
    <w:p>
      <w:pPr>
        <w:pStyle w:val="ListParagraph"/>
        <w:numPr>
          <w:ilvl w:val="0"/>
          <w:numId w:val="2"/>
        </w:numPr>
        <w:spacing w:before="40" w:after="40"/>
      </w:pPr>
      <w:r>
        <w:rPr>
          <w:rFonts w:ascii="Arial" w:cs="Arial" w:eastAsia="Arial" w:hAnsi="Arial"/>
          <w:color w:val="111827"/>
          <w:sz w:val="20"/>
          <w:szCs w:val="20"/>
        </w:rPr>
        <w:t xml:space="preserve">Demonstrated FDA regulatory impact: NDA accelerated approval at Travere, BLA submission support at Editas, FDA BIMO inspection with no adverse findings. Regulatory submissions are listed as a key responsibility—lead with this.</w:t>
      </w:r>
    </w:p>
    <w:p>
      <w:pPr>
        <w:pStyle w:val="ListParagraph"/>
        <w:numPr>
          <w:ilvl w:val="0"/>
          <w:numId w:val="2"/>
        </w:numPr>
        <w:spacing w:before="40" w:after="40"/>
      </w:pPr>
      <w:r>
        <w:rPr>
          <w:rFonts w:ascii="Arial" w:cs="Arial" w:eastAsia="Arial" w:hAnsi="Arial"/>
          <w:color w:val="111827"/>
          <w:sz w:val="20"/>
          <w:szCs w:val="20"/>
        </w:rPr>
        <w:t xml:space="preserve">Hands-on pivotal Phase 3 experience. The Travere rare disease NDA submission and FDA accelerated approval is a standout achievement. Phase 3 experience is explicitly preferred; emphasize the end-to-end ownership you had.</w:t>
      </w:r>
    </w:p>
    <w:p>
      <w:pPr>
        <w:pStyle w:val="ListParagraph"/>
        <w:numPr>
          <w:ilvl w:val="0"/>
          <w:numId w:val="2"/>
        </w:numPr>
        <w:spacing w:before="40" w:after="40"/>
      </w:pPr>
      <w:r>
        <w:rPr>
          <w:rFonts w:ascii="Arial" w:cs="Arial" w:eastAsia="Arial" w:hAnsi="Arial"/>
          <w:color w:val="111827"/>
          <w:sz w:val="20"/>
          <w:szCs w:val="20"/>
        </w:rPr>
        <w:t xml:space="preserve">CRO management and DSMB oversight. Both are listed as core responsibilities; Ping has direct experience at Travere and Orchard managing CROs, guiding programmers, and representing the sponsor at DSMB/DMC meetings.</w:t>
      </w:r>
    </w:p>
    <w:p>
      <w:pPr>
        <w:pStyle w:val="ListParagraph"/>
        <w:numPr>
          <w:ilvl w:val="0"/>
          <w:numId w:val="2"/>
        </w:numPr>
        <w:spacing w:before="40" w:after="40"/>
      </w:pPr>
      <w:r>
        <w:rPr>
          <w:rFonts w:ascii="Arial" w:cs="Arial" w:eastAsia="Arial" w:hAnsi="Arial"/>
          <w:color w:val="111827"/>
          <w:sz w:val="20"/>
          <w:szCs w:val="20"/>
        </w:rPr>
        <w:t xml:space="preserve">Immunology and rheumatology background. Early career work at UMass Medical School and TIMI Study Group includes significant immunology/rheumatology registry research (CORRONA) and Phase III programs—directly relevant to Apogee's I&amp;I focus.</w:t>
      </w:r>
    </w:p>
    <w:p>
      <w:pPr>
        <w:pStyle w:val="ListParagraph"/>
        <w:numPr>
          <w:ilvl w:val="0"/>
          <w:numId w:val="2"/>
        </w:numPr>
        <w:spacing w:before="40" w:after="40"/>
      </w:pPr>
      <w:r>
        <w:rPr>
          <w:rFonts w:ascii="Arial" w:cs="Arial" w:eastAsia="Arial" w:hAnsi="Arial"/>
          <w:color w:val="111827"/>
          <w:sz w:val="20"/>
          <w:szCs w:val="20"/>
        </w:rPr>
        <w:t xml:space="preserve">Published researcher. Peer-reviewed publications in Kidney International Reports, JBMR Plus, Circulation, JACC, and others demonstrate scientific credibility and communication skills beyond the numbers.</w:t>
      </w:r>
    </w:p>
    <w:p>
      <w:pPr>
        <w:pStyle w:val="ListParagraph"/>
        <w:numPr>
          <w:ilvl w:val="0"/>
          <w:numId w:val="2"/>
        </w:numPr>
        <w:spacing w:before="40" w:after="40"/>
      </w:pPr>
      <w:r>
        <w:rPr>
          <w:rFonts w:ascii="Arial" w:cs="Arial" w:eastAsia="Arial" w:hAnsi="Arial"/>
          <w:color w:val="111827"/>
          <w:sz w:val="20"/>
          <w:szCs w:val="20"/>
        </w:rPr>
        <w:t xml:space="preserve">AdCom and FDA inspection readiness. Ping's Lantheus experience preparing for an FDA Advisory Committee meeting is a rare and highly valued skill.</w:t>
      </w:r>
    </w:p>
    <w:p>
      <w:pPr>
        <w:spacing w:before="80" w:after="0"/>
      </w:pPr>
      <w:r>
        <w:t xml:space="preserve"/>
      </w:r>
    </w:p>
    <w:p>
      <w:pPr>
        <w:spacing w:before="240" w:after="80"/>
      </w:pPr>
      <w:r>
        <w:rPr>
          <w:rFonts w:ascii="Arial" w:cs="Arial" w:eastAsia="Arial" w:hAnsi="Arial"/>
          <w:b/>
          <w:bCs/>
          <w:color w:val="2563EB"/>
          <w:sz w:val="22"/>
          <w:szCs w:val="22"/>
        </w:rPr>
        <w:t xml:space="preserve">Potential Gaps — and How to Address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Potential Gap</w:t>
            </w:r>
          </w:p>
        </w:tc>
        <w:tc>
          <w:tcPr>
            <w:tcW w:type="dxa" w:w="616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How to Position It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DC2626"/>
                <w:sz w:val="19"/>
                <w:szCs w:val="19"/>
              </w:rPr>
              <w:t xml:space="preserve">MS vs. PhD preferred</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Lean into the 20-year track record. Say: "I've always let the work lead—FDA accelerated approvals, BLA submissions, and successful BIMO inspections are outcomes a degree cannot manufacture." The JD explicitly opens to MS candidates with depth of experience. You are the definition of that carve-out.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DC2626"/>
                <w:sz w:val="19"/>
                <w:szCs w:val="19"/>
              </w:rPr>
              <w:t xml:space="preserve">Short tenures at recent employers</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Be direct and brief—Editas and Lantheus were restructuring-driven exits, not performance issues. Frame it as: 'I've navigated two org restructurings in a row, which has reinforced exactly what I'm looking for: a well-capitalized company with a long-term scientific vision where I can build and grow.' Travere (3 years) and Shire/Takeda (3+ years) demonstrate real stability.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B45309"/>
                <w:sz w:val="19"/>
                <w:szCs w:val="19"/>
              </w:rPr>
              <w:t xml:space="preserve">Less direct I&amp;I / atopic dermatitis focus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The statistical principles for biologics in I&amp;I cross-apply directly. Reference your autoimmune/rheumatology registry experience at UMass (CORRONA) and your IgA nephropathy pivotal publication in Kidney International Reports as evidence of I&amp;I statistical fluency.</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B45309"/>
                <w:sz w:val="19"/>
                <w:szCs w:val="19"/>
              </w:rPr>
              <w:t xml:space="preserve">Title step-down from Director to Associate Director</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Don't raise it unless they do. If asked, position it as a deliberate choice to land at the right company with the right science—not a step backward but a strategic move toward stability and impact. Titles at lean biotechs often carry more real authority than Director titles at larger organizations.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One thing to keep in your back pocket: Ping applied directly to Apogee in March 2025. If it comes up, own it—it shows genuine conviction in the company's science, not just a job search pivot. It's a strength.</w:t>
            </w:r>
          </w:p>
        </w:tc>
      </w:tr>
    </w:tbl>
    <w:p>
      <w:pPr>
        <w:spacing w:before="120" w:after="0"/>
      </w:pPr>
      <w:r>
        <w:t xml:space="preserve"/>
      </w:r>
    </w:p>
    <w:p>
      <w:pPr>
        <w:pBdr>
          <w:bottom w:val="single" w:color="2563EB" w:sz="8" w:space="4"/>
        </w:pBdr>
        <w:spacing w:before="360" w:after="120"/>
      </w:pPr>
      <w:r>
        <w:rPr>
          <w:rFonts w:ascii="Arial" w:cs="Arial" w:eastAsia="Arial" w:hAnsi="Arial"/>
          <w:b/>
          <w:bCs/>
          <w:color w:val="1B3A6B"/>
          <w:sz w:val="28"/>
          <w:szCs w:val="28"/>
        </w:rPr>
        <w:t xml:space="preserve">3  |  HR Screening Prep (Jimmy Yaji)</w:t>
      </w:r>
    </w:p>
    <w:p>
      <w:pPr>
        <w:spacing w:before="40" w:after="40"/>
      </w:pPr>
      <w:r>
        <w:rPr>
          <w:rFonts w:ascii="Arial" w:cs="Arial" w:eastAsia="Arial" w:hAnsi="Arial"/>
          <w:b w:val="false"/>
          <w:bCs w:val="false"/>
          <w:color w:val="111827"/>
          <w:sz w:val="20"/>
          <w:szCs w:val="20"/>
        </w:rPr>
        <w:t xml:space="preserve">Jimmy's screen is designed to assess fit, compensation, and logistics before routing you to the hiring managers. Keep answers crisp, warm, and focused on opportunity rather than transactional details. He may raise salary early—follow the guidance below.</w:t>
      </w:r>
    </w:p>
    <w:p>
      <w:pPr>
        <w:spacing w:before="80" w:after="0"/>
      </w:pPr>
      <w:r>
        <w:t xml:space="preserve"/>
      </w:r>
    </w:p>
    <w:p>
      <w:pPr>
        <w:spacing w:before="240" w:after="80"/>
      </w:pPr>
      <w:r>
        <w:rPr>
          <w:rFonts w:ascii="Arial" w:cs="Arial" w:eastAsia="Arial" w:hAnsi="Arial"/>
          <w:b/>
          <w:bCs/>
          <w:color w:val="2563EB"/>
          <w:sz w:val="22"/>
          <w:szCs w:val="22"/>
        </w:rPr>
        <w:t xml:space="preserve">Likely Questions &amp; How to Answer Them</w:t>
      </w:r>
    </w:p>
    <w:p>
      <w:pPr>
        <w:spacing w:before="160" w:after="60"/>
      </w:pPr>
      <w:r>
        <w:rPr>
          <w:rFonts w:ascii="Arial" w:cs="Arial" w:eastAsia="Arial" w:hAnsi="Arial"/>
          <w:b/>
          <w:bCs/>
          <w:color w:val="1B3A6B"/>
          <w:sz w:val="20"/>
          <w:szCs w:val="20"/>
        </w:rPr>
        <w:t xml:space="preserve">"Tell me about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Lead with impact, not chronology. Open with your headline—20 years of biostatistics across the drug development continuum, including two FDA regulatory submissions and an accelerated approval. Then connect that history to why Apogee specifically excited you. Keep it to 90 seconds.</w:t>
            </w:r>
          </w:p>
        </w:tc>
      </w:tr>
    </w:tbl>
    <w:p>
      <w:pPr>
        <w:spacing w:before="160" w:after="60"/>
      </w:pPr>
      <w:r>
        <w:rPr>
          <w:rFonts w:ascii="Arial" w:cs="Arial" w:eastAsia="Arial" w:hAnsi="Arial"/>
          <w:b/>
          <w:bCs/>
          <w:color w:val="1B3A6B"/>
          <w:sz w:val="20"/>
          <w:szCs w:val="20"/>
        </w:rPr>
        <w:t xml:space="preserve">"Why are you interested in Apogee?"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Speak to the science first, then the company. APG777's half-life engineering approach is a genuine differentiator—they're not just copying the playbook. Mention that you applied directly in 2025 because the pipeline caught your attention. That shows authenticity. Then pivot to the build: you want to be part of building something, not inheriting a fully built machine.</w:t>
            </w:r>
          </w:p>
        </w:tc>
      </w:tr>
    </w:tbl>
    <w:p>
      <w:pPr>
        <w:spacing w:before="160" w:after="60"/>
      </w:pPr>
      <w:r>
        <w:rPr>
          <w:rFonts w:ascii="Arial" w:cs="Arial" w:eastAsia="Arial" w:hAnsi="Arial"/>
          <w:b/>
          <w:bCs/>
          <w:color w:val="1B3A6B"/>
          <w:sz w:val="20"/>
          <w:szCs w:val="20"/>
        </w:rPr>
        <w:t xml:space="preserve">"Why are you leaving your current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Keep this clean and factual. Lantheus restructured its therapeutic development team back to a diagnostics focus. The role you were brought in for no longer existed. That's it. Don't over-explain. Redirect quickly to what you're moving toward.</w:t>
            </w:r>
          </w:p>
        </w:tc>
      </w:tr>
    </w:tbl>
    <w:p>
      <w:pPr>
        <w:spacing w:before="160" w:after="60"/>
      </w:pPr>
      <w:r>
        <w:rPr>
          <w:rFonts w:ascii="Arial" w:cs="Arial" w:eastAsia="Arial" w:hAnsi="Arial"/>
          <w:b/>
          <w:bCs/>
          <w:color w:val="1B3A6B"/>
          <w:sz w:val="20"/>
          <w:szCs w:val="20"/>
        </w:rPr>
        <w:t xml:space="preserve">"What are your salary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Avoid leading with a specific number. A strong framing: "I'm focused on finding the right opportunity, and GQR has been transparent with me about the range. I'm confident we can find common ground once we establish mutual fit—compensation has not been a barrier in this conversation." Stay warm and non-transactional. Don't negotiate on the first call.</w:t>
            </w:r>
          </w:p>
        </w:tc>
      </w:tr>
    </w:tbl>
    <w:p>
      <w:pPr>
        <w:spacing w:before="160" w:after="60"/>
      </w:pPr>
      <w:r>
        <w:rPr>
          <w:rFonts w:ascii="Arial" w:cs="Arial" w:eastAsia="Arial" w:hAnsi="Arial"/>
          <w:b/>
          <w:bCs/>
          <w:color w:val="1B3A6B"/>
          <w:sz w:val="20"/>
          <w:szCs w:val="20"/>
        </w:rPr>
        <w:t xml:space="preserve">"What is your availability / notice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Available immediately or with minimal ramp time. Be direct and positive about timing.</w:t>
            </w:r>
          </w:p>
        </w:tc>
      </w:tr>
    </w:tbl>
    <w:p>
      <w:pPr>
        <w:spacing w:before="160" w:after="60"/>
      </w:pPr>
      <w:r>
        <w:rPr>
          <w:rFonts w:ascii="Arial" w:cs="Arial" w:eastAsia="Arial" w:hAnsi="Arial"/>
          <w:b/>
          <w:bCs/>
          <w:color w:val="1B3A6B"/>
          <w:sz w:val="20"/>
          <w:szCs w:val="20"/>
        </w:rPr>
        <w:t xml:space="preserve">"Are you open to the remote structure and travel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Yes. Confirm you're comfortable with fully remote work and the 15% travel expectation, including semi-annual all-hands. If you've operated in a remote model before—Editas, Lantheus—reference it to demonstrate you know how to stay connected and productive in that structure.</w:t>
            </w:r>
          </w:p>
        </w:tc>
      </w:tr>
    </w:tbl>
    <w:p>
      <w:pPr>
        <w:spacing w:before="120" w:after="0"/>
      </w:pPr>
      <w:r>
        <w:t xml:space="preserve"/>
      </w:r>
    </w:p>
    <w:p>
      <w:pPr>
        <w:pBdr>
          <w:bottom w:val="single" w:color="2563EB" w:sz="8" w:space="4"/>
        </w:pBdr>
        <w:spacing w:before="360" w:after="120"/>
      </w:pPr>
      <w:r>
        <w:rPr>
          <w:rFonts w:ascii="Arial" w:cs="Arial" w:eastAsia="Arial" w:hAnsi="Arial"/>
          <w:b/>
          <w:bCs/>
          <w:color w:val="1B3A6B"/>
          <w:sz w:val="28"/>
          <w:szCs w:val="28"/>
        </w:rPr>
        <w:t xml:space="preserve">4  |  Hiring Manager Interview Prep</w:t>
      </w:r>
    </w:p>
    <w:p>
      <w:pPr>
        <w:spacing w:before="40" w:after="40"/>
      </w:pPr>
      <w:r>
        <w:rPr>
          <w:rFonts w:ascii="Arial" w:cs="Arial" w:eastAsia="Arial" w:hAnsi="Arial"/>
          <w:b w:val="false"/>
          <w:bCs w:val="false"/>
          <w:color w:val="111827"/>
          <w:sz w:val="20"/>
          <w:szCs w:val="20"/>
        </w:rPr>
        <w:t xml:space="preserve">Richard Willey and Cindy Wu are the likely decision-makers after Jimmy's screen. Expect this conversation to go deep on statistical methodology, study leadership philosophy, and CRO management. Come prepared with specific examples—STAR format is your friend here.</w:t>
      </w:r>
    </w:p>
    <w:p>
      <w:pPr>
        <w:spacing w:before="80" w:after="0"/>
      </w:pPr>
      <w:r>
        <w:t xml:space="preserve"/>
      </w:r>
    </w:p>
    <w:p>
      <w:pPr>
        <w:spacing w:before="240" w:after="80"/>
      </w:pPr>
      <w:r>
        <w:rPr>
          <w:rFonts w:ascii="Arial" w:cs="Arial" w:eastAsia="Arial" w:hAnsi="Arial"/>
          <w:b/>
          <w:bCs/>
          <w:color w:val="2563EB"/>
          <w:sz w:val="22"/>
          <w:szCs w:val="22"/>
        </w:rPr>
        <w:t xml:space="preserve">Likely Deep-Dive Areas</w:t>
      </w:r>
    </w:p>
    <w:p>
      <w:pPr>
        <w:pStyle w:val="ListParagraph"/>
        <w:numPr>
          <w:ilvl w:val="0"/>
          <w:numId w:val="2"/>
        </w:numPr>
        <w:spacing w:before="40" w:after="40"/>
      </w:pPr>
      <w:r>
        <w:rPr>
          <w:rFonts w:ascii="Arial" w:cs="Arial" w:eastAsia="Arial" w:hAnsi="Arial"/>
          <w:color w:val="111827"/>
          <w:sz w:val="20"/>
          <w:szCs w:val="20"/>
        </w:rPr>
        <w:t xml:space="preserve">Phase 3 statistical leadership — design through database lock. Travere's pivotal IgA nephropathy program is your anchor story here.</w:t>
      </w:r>
    </w:p>
    <w:p>
      <w:pPr>
        <w:pStyle w:val="ListParagraph"/>
        <w:numPr>
          <w:ilvl w:val="0"/>
          <w:numId w:val="2"/>
        </w:numPr>
        <w:spacing w:before="40" w:after="40"/>
      </w:pPr>
      <w:r>
        <w:rPr>
          <w:rFonts w:ascii="Arial" w:cs="Arial" w:eastAsia="Arial" w:hAnsi="Arial"/>
          <w:color w:val="111827"/>
          <w:sz w:val="20"/>
          <w:szCs w:val="20"/>
        </w:rPr>
        <w:t xml:space="preserve">SAP authorship and TFL oversight. Walk through your process for developing, versioning, and defending SAPs against CRO teams.</w:t>
      </w:r>
    </w:p>
    <w:p>
      <w:pPr>
        <w:pStyle w:val="ListParagraph"/>
        <w:numPr>
          <w:ilvl w:val="0"/>
          <w:numId w:val="2"/>
        </w:numPr>
        <w:spacing w:before="40" w:after="40"/>
      </w:pPr>
      <w:r>
        <w:rPr>
          <w:rFonts w:ascii="Arial" w:cs="Arial" w:eastAsia="Arial" w:hAnsi="Arial"/>
          <w:color w:val="111827"/>
          <w:sz w:val="20"/>
          <w:szCs w:val="20"/>
        </w:rPr>
        <w:t xml:space="preserve">CRO management philosophy. Apogee is actively building internal capacity—they want someone who knows when to trust a CRO and when to push back.</w:t>
      </w:r>
    </w:p>
    <w:p>
      <w:pPr>
        <w:pStyle w:val="ListParagraph"/>
        <w:numPr>
          <w:ilvl w:val="0"/>
          <w:numId w:val="2"/>
        </w:numPr>
        <w:spacing w:before="40" w:after="40"/>
      </w:pPr>
      <w:r>
        <w:rPr>
          <w:rFonts w:ascii="Arial" w:cs="Arial" w:eastAsia="Arial" w:hAnsi="Arial"/>
          <w:color w:val="111827"/>
          <w:sz w:val="20"/>
          <w:szCs w:val="20"/>
        </w:rPr>
        <w:t xml:space="preserve">Regulatory submission experience. NDA/BLA contributions, FDA interactions, and your experience in inspection-readiness will be highly scrutinized.</w:t>
      </w:r>
    </w:p>
    <w:p>
      <w:pPr>
        <w:pStyle w:val="ListParagraph"/>
        <w:numPr>
          <w:ilvl w:val="0"/>
          <w:numId w:val="2"/>
        </w:numPr>
        <w:spacing w:before="40" w:after="40"/>
      </w:pPr>
      <w:r>
        <w:rPr>
          <w:rFonts w:ascii="Arial" w:cs="Arial" w:eastAsia="Arial" w:hAnsi="Arial"/>
          <w:color w:val="111827"/>
          <w:sz w:val="20"/>
          <w:szCs w:val="20"/>
        </w:rPr>
        <w:t xml:space="preserve">Handling methodological complexity — missing data, multiplicity, estimands, adaptive designs. Be ready to discuss how you've applied advanced methods in real programs.</w:t>
      </w:r>
    </w:p>
    <w:p>
      <w:pPr>
        <w:pStyle w:val="ListParagraph"/>
        <w:numPr>
          <w:ilvl w:val="0"/>
          <w:numId w:val="2"/>
        </w:numPr>
        <w:spacing w:before="40" w:after="40"/>
      </w:pPr>
      <w:r>
        <w:rPr>
          <w:rFonts w:ascii="Arial" w:cs="Arial" w:eastAsia="Arial" w:hAnsi="Arial"/>
          <w:color w:val="111827"/>
          <w:sz w:val="20"/>
          <w:szCs w:val="20"/>
        </w:rPr>
        <w:t xml:space="preserve">Working cross-functionally without a deep statistical bench. At a lean biotech, you'll be translating complex statistics for clinicians and operations daily.</w:t>
      </w:r>
    </w:p>
    <w:p>
      <w:pPr>
        <w:spacing w:before="80" w:after="0"/>
      </w:pPr>
      <w:r>
        <w:t xml:space="preserve"/>
      </w:r>
    </w:p>
    <w:p>
      <w:pPr>
        <w:spacing w:before="240" w:after="80"/>
      </w:pPr>
      <w:r>
        <w:rPr>
          <w:rFonts w:ascii="Arial" w:cs="Arial" w:eastAsia="Arial" w:hAnsi="Arial"/>
          <w:b/>
          <w:bCs/>
          <w:color w:val="2563EB"/>
          <w:sz w:val="22"/>
          <w:szCs w:val="22"/>
        </w:rPr>
        <w:t xml:space="preserve">STAR Behavioral Questions — Prepared Responses</w:t>
      </w:r>
    </w:p>
    <w:p>
      <w:pPr>
        <w:spacing w:before="160" w:after="60"/>
      </w:pPr>
      <w:r>
        <w:rPr>
          <w:rFonts w:ascii="Arial" w:cs="Arial" w:eastAsia="Arial" w:hAnsi="Arial"/>
          <w:b/>
          <w:bCs/>
          <w:color w:val="1B3A6B"/>
          <w:sz w:val="20"/>
          <w:szCs w:val="20"/>
        </w:rPr>
        <w:t xml:space="preserve">Q1: Tell me about a time you served as the statistical lead on a pivotal Phase 3 trial. What was your role and what was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B3A6B"/>
                <w:sz w:val="18"/>
                <w:szCs w:val="18"/>
              </w:rPr>
              <w:t xml:space="preserve">Situation</w:t>
            </w:r>
          </w:p>
        </w:tc>
        <w:tc>
          <w:tcPr>
            <w:tcW w:type="dxa" w:w="79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At Travere Therapeutics, I was the Associate Director of Biostatistics leading the PROTECT pivotal Phase 3 trial for sparsentan in IgA nephropathy—a rare autoimmune disease with significant unmet need.</w:t>
            </w:r>
          </w:p>
        </w:tc>
      </w:tr>
      <w:tr>
        <w:tc>
          <w:tcPr>
            <w:tcW w:type="dxa" w:w="144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B3A6B"/>
                <w:sz w:val="18"/>
                <w:szCs w:val="18"/>
              </w:rPr>
              <w:t xml:space="preserve">Task</w:t>
            </w:r>
          </w:p>
        </w:tc>
        <w:tc>
          <w:tcPr>
            <w:tcW w:type="dxa" w:w="79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I owned the full statistical lifecycle: SAP development, CRO oversight, database lock strategy, TFL oversight, and direct FDA regulatory input including responses to agency requests.</w:t>
            </w:r>
          </w:p>
        </w:tc>
      </w:tr>
      <w:tr>
        <w:tc>
          <w:tcPr>
            <w:tcW w:type="dxa" w:w="144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B3A6B"/>
                <w:sz w:val="18"/>
                <w:szCs w:val="18"/>
              </w:rPr>
              <w:t xml:space="preserve">Action</w:t>
            </w:r>
          </w:p>
        </w:tc>
        <w:tc>
          <w:tcPr>
            <w:tcW w:type="dxa" w:w="79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 built a tight partnership with CRO biostatisticians and programmers, ran DSMB meetings, managed interim analyses, led the database lock strategy, and collaborated with regulatory on NDA submission documents. I also supported an on-site FDA GCP BIMO inspection.</w:t>
            </w:r>
          </w:p>
        </w:tc>
      </w:tr>
      <w:tr>
        <w:tc>
          <w:tcPr>
            <w:tcW w:type="dxa" w:w="144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r>
              <w:rPr>
                <w:rFonts w:ascii="Arial" w:cs="Arial" w:eastAsia="Arial" w:hAnsi="Arial"/>
                <w:b/>
                <w:bCs/>
                <w:color w:val="1B3A6B"/>
                <w:sz w:val="18"/>
                <w:szCs w:val="18"/>
              </w:rPr>
              <w:t xml:space="preserve">Result</w:t>
            </w:r>
          </w:p>
        </w:tc>
        <w:tc>
          <w:tcPr>
            <w:tcW w:type="dxa" w:w="79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Sparsentan achieved a first-of-its-kind FDA accelerated approval for IgA nephropathy. The BIMO inspection closed with no adverse findings. My work was also published in Kidney International Reports.</w:t>
            </w:r>
          </w:p>
        </w:tc>
      </w:tr>
    </w:tbl>
    <w:p>
      <w:pPr>
        <w:spacing w:before="80" w:after="0"/>
      </w:pPr>
      <w:r>
        <w:t xml:space="preserve"/>
      </w:r>
    </w:p>
    <w:p>
      <w:pPr>
        <w:spacing w:before="160" w:after="60"/>
      </w:pPr>
      <w:r>
        <w:rPr>
          <w:rFonts w:ascii="Arial" w:cs="Arial" w:eastAsia="Arial" w:hAnsi="Arial"/>
          <w:b/>
          <w:bCs/>
          <w:color w:val="1B3A6B"/>
          <w:sz w:val="20"/>
          <w:szCs w:val="20"/>
        </w:rPr>
        <w:t xml:space="preserve">Q2: Describe a time you had to manage a CRO that was underdelivering. How did you handle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Draw from Travere or Shire/Takeda. Speak to a specific instance where you identified a quality or timeline gap, your process for escalating and course-correcting (direct communication, updated SOPs, tighter checkpoints), and the outcome. Emphasize that CRO accountability is something you take personally—external vendors are an extension of your team, not a separate entity.</w:t>
            </w:r>
          </w:p>
        </w:tc>
      </w:tr>
    </w:tbl>
    <w:p>
      <w:pPr>
        <w:spacing w:before="60" w:after="0"/>
      </w:pPr>
      <w:r>
        <w:t xml:space="preserve"/>
      </w:r>
    </w:p>
    <w:p>
      <w:pPr>
        <w:spacing w:before="160" w:after="60"/>
      </w:pPr>
      <w:r>
        <w:rPr>
          <w:rFonts w:ascii="Arial" w:cs="Arial" w:eastAsia="Arial" w:hAnsi="Arial"/>
          <w:b/>
          <w:bCs/>
          <w:color w:val="1B3A6B"/>
          <w:sz w:val="20"/>
          <w:szCs w:val="20"/>
        </w:rPr>
        <w:t xml:space="preserve">Q3: Tell me about a time you had to explain a complex statistical methodology to a non-statistician stakeholder. What was at stake, and how did you adapt?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Think about a clinical or regulatory interaction where the interpretation of results had real decision-making stakes. Consider your DSMB experience—explaining interim analysis results to clinicians, or your AdCom prep at Lantheus, where you had to align statistical content across briefing documents and mock Q&amp;A with teams who were not statisticians.</w:t>
            </w:r>
          </w:p>
        </w:tc>
      </w:tr>
    </w:tbl>
    <w:p>
      <w:pPr>
        <w:spacing w:before="60" w:after="0"/>
      </w:pPr>
      <w:r>
        <w:t xml:space="preserve"/>
      </w:r>
    </w:p>
    <w:p>
      <w:pPr>
        <w:spacing w:before="160" w:after="60"/>
      </w:pPr>
      <w:r>
        <w:rPr>
          <w:rFonts w:ascii="Arial" w:cs="Arial" w:eastAsia="Arial" w:hAnsi="Arial"/>
          <w:b/>
          <w:bCs/>
          <w:color w:val="1B3A6B"/>
          <w:sz w:val="20"/>
          <w:szCs w:val="20"/>
        </w:rPr>
        <w:t xml:space="preserve">Q4: Describe a situation where you had to navigate significant ambiguity in a study design or analysis. How did you drive to a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Lean into gene therapy or rare disease experience—both areas where novel statistical approaches and small sample sizes demand creative thinking. Walk through your methodology evaluation process, how you engaged FDA guidance and ICH principles, and how you aligned the team on a path forward.</w:t>
            </w:r>
          </w:p>
        </w:tc>
      </w:tr>
    </w:tbl>
    <w:p>
      <w:pPr>
        <w:spacing w:before="60" w:after="0"/>
      </w:pPr>
      <w:r>
        <w:t xml:space="preserve"/>
      </w:r>
    </w:p>
    <w:p>
      <w:pPr>
        <w:spacing w:before="160" w:after="60"/>
      </w:pPr>
      <w:r>
        <w:rPr>
          <w:rFonts w:ascii="Arial" w:cs="Arial" w:eastAsia="Arial" w:hAnsi="Arial"/>
          <w:b/>
          <w:bCs/>
          <w:color w:val="1B3A6B"/>
          <w:sz w:val="20"/>
          <w:szCs w:val="20"/>
        </w:rPr>
        <w:t xml:space="preserve">Q5: Tell me about a time you identified a statistical issue mid-trial that could have affected the integrity of results. What did you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Draw on data review or interim analysis experience. Show that you have a proactive risk-detection mindset—not just reactive problem-solving. Emphasize that statistical integrity is non-negotiable for you and that you've built that expectation into your CRO relationships.</w:t>
            </w:r>
          </w:p>
        </w:tc>
      </w:tr>
    </w:tbl>
    <w:p>
      <w:pPr>
        <w:spacing w:before="60" w:after="0"/>
      </w:pPr>
      <w:r>
        <w:t xml:space="preserve"/>
      </w:r>
    </w:p>
    <w:p>
      <w:pPr>
        <w:spacing w:before="160" w:after="60"/>
      </w:pPr>
      <w:r>
        <w:rPr>
          <w:rFonts w:ascii="Arial" w:cs="Arial" w:eastAsia="Arial" w:hAnsi="Arial"/>
          <w:b/>
          <w:bCs/>
          <w:color w:val="1B3A6B"/>
          <w:sz w:val="20"/>
          <w:szCs w:val="20"/>
        </w:rPr>
        <w:t xml:space="preserve">Q6: How have you balanced leading multiple studies simultaneously while maintaining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Reference your time at Travere managing Phase 1, 2, and 3 programs concurrently alongside real-world registries. Speak to your system: clear milestone tracking, strong CRO delegation with defined escalation triggers, and regular cross-functional syncs that keep priorities surfaced.</w:t>
            </w:r>
          </w:p>
        </w:tc>
      </w:tr>
    </w:tbl>
    <w:p>
      <w:pPr>
        <w:spacing w:before="80" w:after="0"/>
      </w:pPr>
      <w:r>
        <w:t xml:space="preserve"/>
      </w:r>
    </w:p>
    <w:p>
      <w:pPr>
        <w:spacing w:before="240" w:after="80"/>
      </w:pPr>
      <w:r>
        <w:rPr>
          <w:rFonts w:ascii="Arial" w:cs="Arial" w:eastAsia="Arial" w:hAnsi="Arial"/>
          <w:b/>
          <w:bCs/>
          <w:color w:val="2563EB"/>
          <w:sz w:val="22"/>
          <w:szCs w:val="22"/>
        </w:rPr>
        <w:t xml:space="preserve">Technical Questions to Prepare For</w:t>
      </w:r>
    </w:p>
    <w:p>
      <w:pPr>
        <w:pStyle w:val="ListParagraph"/>
        <w:numPr>
          <w:ilvl w:val="0"/>
          <w:numId w:val="2"/>
        </w:numPr>
        <w:spacing w:before="40" w:after="40"/>
      </w:pPr>
      <w:r>
        <w:rPr>
          <w:rFonts w:ascii="Arial" w:cs="Arial" w:eastAsia="Arial" w:hAnsi="Arial"/>
          <w:color w:val="111827"/>
          <w:sz w:val="20"/>
          <w:szCs w:val="20"/>
        </w:rPr>
        <w:t xml:space="preserve">Walk me through your approach to SAP development for a Phase 3 trial. What are the non-negotiables before you finalize it?</w:t>
      </w:r>
    </w:p>
    <w:p>
      <w:pPr>
        <w:pStyle w:val="ListParagraph"/>
        <w:numPr>
          <w:ilvl w:val="0"/>
          <w:numId w:val="3"/>
        </w:numPr>
        <w:spacing w:before="20" w:after="20"/>
      </w:pPr>
      <w:r>
        <w:rPr>
          <w:rFonts w:ascii="Arial" w:cs="Arial" w:eastAsia="Arial" w:hAnsi="Arial"/>
          <w:color w:val="6B7280"/>
          <w:sz w:val="19"/>
          <w:szCs w:val="19"/>
        </w:rPr>
        <w:t xml:space="preserve">Be ready to discuss: estimand framework (ICH E9(R1)), multiplicity adjustment strategy, missing data handling (MMRM, MI), and pre-specification of sensitivity analyses.</w:t>
      </w:r>
    </w:p>
    <w:p>
      <w:pPr>
        <w:pStyle w:val="ListParagraph"/>
        <w:numPr>
          <w:ilvl w:val="0"/>
          <w:numId w:val="2"/>
        </w:numPr>
        <w:spacing w:before="40" w:after="40"/>
      </w:pPr>
      <w:r>
        <w:rPr>
          <w:rFonts w:ascii="Arial" w:cs="Arial" w:eastAsia="Arial" w:hAnsi="Arial"/>
          <w:color w:val="111827"/>
          <w:sz w:val="20"/>
          <w:szCs w:val="20"/>
        </w:rPr>
        <w:t xml:space="preserve">How do you approach sample size determination when working with novel endpoints or limited historical data?</w:t>
      </w:r>
    </w:p>
    <w:p>
      <w:pPr>
        <w:pStyle w:val="ListParagraph"/>
        <w:numPr>
          <w:ilvl w:val="0"/>
          <w:numId w:val="3"/>
        </w:numPr>
        <w:spacing w:before="20" w:after="20"/>
      </w:pPr>
      <w:r>
        <w:rPr>
          <w:rFonts w:ascii="Arial" w:cs="Arial" w:eastAsia="Arial" w:hAnsi="Arial"/>
          <w:color w:val="6B7280"/>
          <w:sz w:val="19"/>
          <w:szCs w:val="19"/>
        </w:rPr>
        <w:t xml:space="preserve">Reference rare disease experience. Discuss simulation approaches, adaptive design considerations, and regulatory alignment on assumptions.</w:t>
      </w:r>
    </w:p>
    <w:p>
      <w:pPr>
        <w:pStyle w:val="ListParagraph"/>
        <w:numPr>
          <w:ilvl w:val="0"/>
          <w:numId w:val="2"/>
        </w:numPr>
        <w:spacing w:before="40" w:after="40"/>
      </w:pPr>
      <w:r>
        <w:rPr>
          <w:rFonts w:ascii="Arial" w:cs="Arial" w:eastAsia="Arial" w:hAnsi="Arial"/>
          <w:color w:val="111827"/>
          <w:sz w:val="20"/>
          <w:szCs w:val="20"/>
        </w:rPr>
        <w:t xml:space="preserve">How do you ensure consistency between SAP, ADaM specifications, TFL shells, and final outputs across a CRO-executed program?</w:t>
      </w:r>
    </w:p>
    <w:p>
      <w:pPr>
        <w:pStyle w:val="ListParagraph"/>
        <w:numPr>
          <w:ilvl w:val="0"/>
          <w:numId w:val="3"/>
        </w:numPr>
        <w:spacing w:before="20" w:after="20"/>
      </w:pPr>
      <w:r>
        <w:rPr>
          <w:rFonts w:ascii="Arial" w:cs="Arial" w:eastAsia="Arial" w:hAnsi="Arial"/>
          <w:color w:val="6B7280"/>
          <w:sz w:val="19"/>
          <w:szCs w:val="19"/>
        </w:rPr>
        <w:t xml:space="preserve">Speak to your QC process, mock TFL reviews, and the role of pre-database-lock validation walkthroughs.</w:t>
      </w:r>
    </w:p>
    <w:p>
      <w:pPr>
        <w:pStyle w:val="ListParagraph"/>
        <w:numPr>
          <w:ilvl w:val="0"/>
          <w:numId w:val="2"/>
        </w:numPr>
        <w:spacing w:before="40" w:after="40"/>
      </w:pPr>
      <w:r>
        <w:rPr>
          <w:rFonts w:ascii="Arial" w:cs="Arial" w:eastAsia="Arial" w:hAnsi="Arial"/>
          <w:color w:val="111827"/>
          <w:sz w:val="20"/>
          <w:szCs w:val="20"/>
        </w:rPr>
        <w:t xml:space="preserve">What is your experience with adaptive trial designs? Have you implemented or reviewed one in a regulatory submission context?</w:t>
      </w:r>
    </w:p>
    <w:p>
      <w:pPr>
        <w:pStyle w:val="ListParagraph"/>
        <w:numPr>
          <w:ilvl w:val="0"/>
          <w:numId w:val="3"/>
        </w:numPr>
        <w:spacing w:before="20" w:after="20"/>
      </w:pPr>
      <w:r>
        <w:rPr>
          <w:rFonts w:ascii="Arial" w:cs="Arial" w:eastAsia="Arial" w:hAnsi="Arial"/>
          <w:color w:val="6B7280"/>
          <w:sz w:val="19"/>
          <w:szCs w:val="19"/>
        </w:rPr>
        <w:t xml:space="preserve">Honesty matters more than scope here. If your adaptive design experience is primarily methodological review rather than full implementation, say so—but pair it with your comfort navigating the FDA guidance landscape.</w:t>
      </w:r>
    </w:p>
    <w:p>
      <w:pPr>
        <w:pStyle w:val="ListParagraph"/>
        <w:numPr>
          <w:ilvl w:val="0"/>
          <w:numId w:val="2"/>
        </w:numPr>
        <w:spacing w:before="40" w:after="40"/>
      </w:pPr>
      <w:r>
        <w:rPr>
          <w:rFonts w:ascii="Arial" w:cs="Arial" w:eastAsia="Arial" w:hAnsi="Arial"/>
          <w:color w:val="111827"/>
          <w:sz w:val="20"/>
          <w:szCs w:val="20"/>
        </w:rPr>
        <w:t xml:space="preserve">What is your experience with SAS and R in a clinical trial context?</w:t>
      </w:r>
    </w:p>
    <w:p>
      <w:pPr>
        <w:pStyle w:val="ListParagraph"/>
        <w:numPr>
          <w:ilvl w:val="0"/>
          <w:numId w:val="3"/>
        </w:numPr>
        <w:spacing w:before="20" w:after="20"/>
      </w:pPr>
      <w:r>
        <w:rPr>
          <w:rFonts w:ascii="Arial" w:cs="Arial" w:eastAsia="Arial" w:hAnsi="Arial"/>
          <w:color w:val="6B7280"/>
          <w:sz w:val="19"/>
          <w:szCs w:val="19"/>
        </w:rPr>
        <w:t xml:space="preserve">SAS is your primary language (certified). R proficiency as supplement. Be specific about what you use each for and how you've managed validation in a 21 CFR Part 11 environment.</w:t>
      </w:r>
    </w:p>
    <w:p>
      <w:pPr>
        <w:spacing w:before="80" w:after="0"/>
      </w:pPr>
      <w:r>
        <w:t xml:space="preserve"/>
      </w:r>
    </w:p>
    <w:p>
      <w:pPr>
        <w:spacing w:before="240" w:after="80"/>
      </w:pPr>
      <w:r>
        <w:rPr>
          <w:rFonts w:ascii="Arial" w:cs="Arial" w:eastAsia="Arial" w:hAnsi="Arial"/>
          <w:b/>
          <w:bCs/>
          <w:color w:val="2563EB"/>
          <w:sz w:val="22"/>
          <w:szCs w:val="22"/>
        </w:rPr>
        <w:t xml:space="preserve">Strong Questions to Ask the Hiring Managers</w:t>
      </w:r>
    </w:p>
    <w:p>
      <w:pPr>
        <w:pStyle w:val="ListParagraph"/>
        <w:numPr>
          <w:ilvl w:val="0"/>
          <w:numId w:val="2"/>
        </w:numPr>
        <w:spacing w:before="40" w:after="40"/>
      </w:pPr>
      <w:r>
        <w:rPr>
          <w:rFonts w:ascii="Arial" w:cs="Arial" w:eastAsia="Arial" w:hAnsi="Arial"/>
          <w:color w:val="111827"/>
          <w:sz w:val="20"/>
          <w:szCs w:val="20"/>
        </w:rPr>
        <w:t xml:space="preserve">How is the biostatistics function currently structured, and where does this role sit in terms of the build-out roadmap?</w:t>
      </w:r>
    </w:p>
    <w:p>
      <w:pPr>
        <w:pStyle w:val="ListParagraph"/>
        <w:numPr>
          <w:ilvl w:val="0"/>
          <w:numId w:val="2"/>
        </w:numPr>
        <w:spacing w:before="40" w:after="40"/>
      </w:pPr>
      <w:r>
        <w:rPr>
          <w:rFonts w:ascii="Arial" w:cs="Arial" w:eastAsia="Arial" w:hAnsi="Arial"/>
          <w:color w:val="111827"/>
          <w:sz w:val="20"/>
          <w:szCs w:val="20"/>
        </w:rPr>
        <w:t xml:space="preserve">What does success look like in the first six months for this role—are there specific programs or deliverables that will define early impact?</w:t>
      </w:r>
    </w:p>
    <w:p>
      <w:pPr>
        <w:pStyle w:val="ListParagraph"/>
        <w:numPr>
          <w:ilvl w:val="0"/>
          <w:numId w:val="2"/>
        </w:numPr>
        <w:spacing w:before="40" w:after="40"/>
      </w:pPr>
      <w:r>
        <w:rPr>
          <w:rFonts w:ascii="Arial" w:cs="Arial" w:eastAsia="Arial" w:hAnsi="Arial"/>
          <w:color w:val="111827"/>
          <w:sz w:val="20"/>
          <w:szCs w:val="20"/>
        </w:rPr>
        <w:t xml:space="preserve">As Apogee reduces its reliance on CROs, how are you thinking about the internal/external balance for the programs I'd be supporting?</w:t>
      </w:r>
    </w:p>
    <w:p>
      <w:pPr>
        <w:pStyle w:val="ListParagraph"/>
        <w:numPr>
          <w:ilvl w:val="0"/>
          <w:numId w:val="2"/>
        </w:numPr>
        <w:spacing w:before="40" w:after="40"/>
      </w:pPr>
      <w:r>
        <w:rPr>
          <w:rFonts w:ascii="Arial" w:cs="Arial" w:eastAsia="Arial" w:hAnsi="Arial"/>
          <w:color w:val="111827"/>
          <w:sz w:val="20"/>
          <w:szCs w:val="20"/>
        </w:rPr>
        <w:t xml:space="preserve">What is the relationship between the biostatistics team and clinical development here—how early in the design process is statistics brought in?</w:t>
      </w:r>
    </w:p>
    <w:p>
      <w:pPr>
        <w:pStyle w:val="ListParagraph"/>
        <w:numPr>
          <w:ilvl w:val="0"/>
          <w:numId w:val="2"/>
        </w:numPr>
        <w:spacing w:before="40" w:after="40"/>
      </w:pPr>
      <w:r>
        <w:rPr>
          <w:rFonts w:ascii="Arial" w:cs="Arial" w:eastAsia="Arial" w:hAnsi="Arial"/>
          <w:color w:val="111827"/>
          <w:sz w:val="20"/>
          <w:szCs w:val="20"/>
        </w:rPr>
        <w:t xml:space="preserve">What has the cross-functional collaboration looked like on APG777 so far, and how does that team operate day-to-day?</w:t>
      </w:r>
    </w:p>
    <w:p>
      <w:pPr>
        <w:spacing w:before="120" w:after="0"/>
      </w:pPr>
      <w:r>
        <w:t xml:space="preserve"/>
      </w:r>
    </w:p>
    <w:p>
      <w:pPr>
        <w:pBdr>
          <w:bottom w:val="single" w:color="2563EB" w:sz="8" w:space="4"/>
        </w:pBdr>
        <w:spacing w:before="360" w:after="120"/>
      </w:pPr>
      <w:r>
        <w:rPr>
          <w:rFonts w:ascii="Arial" w:cs="Arial" w:eastAsia="Arial" w:hAnsi="Arial"/>
          <w:b/>
          <w:bCs/>
          <w:color w:val="1B3A6B"/>
          <w:sz w:val="28"/>
          <w:szCs w:val="28"/>
        </w:rPr>
        <w:t xml:space="preserve">5  |  Panel / Final Round Prep</w:t>
      </w:r>
    </w:p>
    <w:p>
      <w:pPr>
        <w:spacing w:before="40" w:after="40"/>
      </w:pPr>
      <w:r>
        <w:rPr>
          <w:rFonts w:ascii="Arial" w:cs="Arial" w:eastAsia="Arial" w:hAnsi="Arial"/>
          <w:b w:val="false"/>
          <w:bCs w:val="false"/>
          <w:color w:val="111827"/>
          <w:sz w:val="20"/>
          <w:szCs w:val="20"/>
        </w:rPr>
        <w:t xml:space="preserve">If you advance past the hiring manager screen, expect a broader panel—likely including cross-functional partners from clinical operations, clinical development, regulatory, or programming. The panel evaluates cultural fit, communication style, and how you navigate complexity with diverse stakeholders.</w:t>
      </w:r>
    </w:p>
    <w:p>
      <w:pPr>
        <w:spacing w:before="80" w:after="0"/>
      </w:pPr>
      <w:r>
        <w:t xml:space="preserve"/>
      </w:r>
    </w:p>
    <w:p>
      <w:pPr>
        <w:spacing w:before="240" w:after="80"/>
      </w:pPr>
      <w:r>
        <w:rPr>
          <w:rFonts w:ascii="Arial" w:cs="Arial" w:eastAsia="Arial" w:hAnsi="Arial"/>
          <w:b/>
          <w:bCs/>
          <w:color w:val="2563EB"/>
          <w:sz w:val="22"/>
          <w:szCs w:val="22"/>
        </w:rPr>
        <w:t xml:space="preserve">Core Panel Themes</w:t>
      </w:r>
    </w:p>
    <w:p>
      <w:pPr>
        <w:pStyle w:val="ListParagraph"/>
        <w:numPr>
          <w:ilvl w:val="0"/>
          <w:numId w:val="2"/>
        </w:numPr>
        <w:spacing w:before="40" w:after="40"/>
      </w:pPr>
      <w:r>
        <w:rPr>
          <w:rFonts w:ascii="Arial" w:cs="Arial" w:eastAsia="Arial" w:hAnsi="Arial"/>
          <w:color w:val="111827"/>
          <w:sz w:val="20"/>
          <w:szCs w:val="20"/>
        </w:rPr>
        <w:t xml:space="preserve">Collaboration across functions — how you partner with non-statisticians and earn credibility without the PhD credential.</w:t>
      </w:r>
    </w:p>
    <w:p>
      <w:pPr>
        <w:pStyle w:val="ListParagraph"/>
        <w:numPr>
          <w:ilvl w:val="0"/>
          <w:numId w:val="2"/>
        </w:numPr>
        <w:spacing w:before="40" w:after="40"/>
      </w:pPr>
      <w:r>
        <w:rPr>
          <w:rFonts w:ascii="Arial" w:cs="Arial" w:eastAsia="Arial" w:hAnsi="Arial"/>
          <w:color w:val="111827"/>
          <w:sz w:val="20"/>
          <w:szCs w:val="20"/>
        </w:rPr>
        <w:t xml:space="preserve">Communication of uncertainty and risk — how you convey statistical limitations honestly without undermining clinical confidence.</w:t>
      </w:r>
    </w:p>
    <w:p>
      <w:pPr>
        <w:pStyle w:val="ListParagraph"/>
        <w:numPr>
          <w:ilvl w:val="0"/>
          <w:numId w:val="2"/>
        </w:numPr>
        <w:spacing w:before="40" w:after="40"/>
      </w:pPr>
      <w:r>
        <w:rPr>
          <w:rFonts w:ascii="Arial" w:cs="Arial" w:eastAsia="Arial" w:hAnsi="Arial"/>
          <w:color w:val="111827"/>
          <w:sz w:val="20"/>
          <w:szCs w:val="20"/>
        </w:rPr>
        <w:t xml:space="preserve">Decision-making under ambiguity — how you move programs forward when the data is incomplete or methods are novel.</w:t>
      </w:r>
    </w:p>
    <w:p>
      <w:pPr>
        <w:pStyle w:val="ListParagraph"/>
        <w:numPr>
          <w:ilvl w:val="0"/>
          <w:numId w:val="2"/>
        </w:numPr>
        <w:spacing w:before="40" w:after="40"/>
      </w:pPr>
      <w:r>
        <w:rPr>
          <w:rFonts w:ascii="Arial" w:cs="Arial" w:eastAsia="Arial" w:hAnsi="Arial"/>
          <w:color w:val="111827"/>
          <w:sz w:val="20"/>
          <w:szCs w:val="20"/>
        </w:rPr>
        <w:t xml:space="preserve">Psychological safety and team culture — the "Egoless" value will be tested. Show genuine curiosity and openness to challenge.</w:t>
      </w:r>
    </w:p>
    <w:p>
      <w:pPr>
        <w:pStyle w:val="ListParagraph"/>
        <w:numPr>
          <w:ilvl w:val="0"/>
          <w:numId w:val="2"/>
        </w:numPr>
        <w:spacing w:before="40" w:after="40"/>
      </w:pPr>
      <w:r>
        <w:rPr>
          <w:rFonts w:ascii="Arial" w:cs="Arial" w:eastAsia="Arial" w:hAnsi="Arial"/>
          <w:color w:val="111827"/>
          <w:sz w:val="20"/>
          <w:szCs w:val="20"/>
        </w:rPr>
        <w:t xml:space="preserve">Resilience — two restructuring-driven transitions in a row is context panelists may probe. Be grounded, not defensive.</w:t>
      </w:r>
    </w:p>
    <w:p>
      <w:pPr>
        <w:spacing w:before="80" w:after="0"/>
      </w:pPr>
      <w:r>
        <w:t xml:space="preserve"/>
      </w:r>
    </w:p>
    <w:p>
      <w:pPr>
        <w:spacing w:before="240" w:after="80"/>
      </w:pPr>
      <w:r>
        <w:rPr>
          <w:rFonts w:ascii="Arial" w:cs="Arial" w:eastAsia="Arial" w:hAnsi="Arial"/>
          <w:b/>
          <w:bCs/>
          <w:color w:val="2563EB"/>
          <w:sz w:val="22"/>
          <w:szCs w:val="22"/>
        </w:rPr>
        <w:t xml:space="preserve">Scenario-Based Questions to Prepare For</w:t>
      </w:r>
    </w:p>
    <w:p>
      <w:pPr>
        <w:spacing w:before="160" w:after="60"/>
      </w:pPr>
      <w:r>
        <w:rPr>
          <w:rFonts w:ascii="Arial" w:cs="Arial" w:eastAsia="Arial" w:hAnsi="Arial"/>
          <w:b/>
          <w:bCs/>
          <w:color w:val="1B3A6B"/>
          <w:sz w:val="20"/>
          <w:szCs w:val="20"/>
        </w:rPr>
        <w:t xml:space="preserve">"If a clinical operations lead wants to make a protocol amendment that would affect your SAP and potentially compromise the integrity of the primary analysis, how do you handle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This is a professional conflict question. The right answer demonstrates both scientific conviction and collaborative instinct. You protect the statistical plan—but you do it by educating, not blocking. Walk them through how you'd engage the team, explain the regulatory risk, and propose alternatives if possible.</w:t>
            </w:r>
          </w:p>
        </w:tc>
      </w:tr>
    </w:tbl>
    <w:p>
      <w:pPr>
        <w:spacing w:before="160" w:after="60"/>
      </w:pPr>
      <w:r>
        <w:rPr>
          <w:rFonts w:ascii="Arial" w:cs="Arial" w:eastAsia="Arial" w:hAnsi="Arial"/>
          <w:b/>
          <w:bCs/>
          <w:color w:val="1B3A6B"/>
          <w:sz w:val="20"/>
          <w:szCs w:val="20"/>
        </w:rPr>
        <w:t xml:space="preserve">"A CRO is three weeks behind on TFL delivery and the database lock is immovable. What do you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Show operational command. Resource escalation, root cause triage, scope prioritization, and direct sponsor-CRO communication. What gets cut vs. what is non-negotiable. You've managed this scenario—cite a real example if you can.</w:t>
            </w:r>
          </w:p>
        </w:tc>
      </w:tr>
    </w:tbl>
    <w:p>
      <w:pPr>
        <w:spacing w:before="160" w:after="60"/>
      </w:pPr>
      <w:r>
        <w:rPr>
          <w:rFonts w:ascii="Arial" w:cs="Arial" w:eastAsia="Arial" w:hAnsi="Arial"/>
          <w:b/>
          <w:bCs/>
          <w:color w:val="1B3A6B"/>
          <w:sz w:val="20"/>
          <w:szCs w:val="20"/>
        </w:rPr>
        <w:t xml:space="preserve">"How do you ensure that the regulatory agency receives a coherent, well-defended statistical narrative—not just a collection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This is your credibility question. Speak to your experience integrating statistical results into CSRs and regulatory documents, your involvement in FDA response letters at Travere, and your AdCom narrative work at Lantheus. The agency sees thousands of submissions—yours need a point of view.</w:t>
            </w:r>
          </w:p>
        </w:tc>
      </w:tr>
    </w:tbl>
    <w:p>
      <w:pPr>
        <w:spacing w:before="80" w:after="0"/>
      </w:pPr>
      <w:r>
        <w:t xml:space="preserve"/>
      </w:r>
    </w:p>
    <w:p>
      <w:pPr>
        <w:spacing w:before="240" w:after="80"/>
      </w:pPr>
      <w:r>
        <w:rPr>
          <w:rFonts w:ascii="Arial" w:cs="Arial" w:eastAsia="Arial" w:hAnsi="Arial"/>
          <w:b/>
          <w:bCs/>
          <w:color w:val="2563EB"/>
          <w:sz w:val="22"/>
          <w:szCs w:val="22"/>
        </w:rPr>
        <w:t xml:space="preserve">Tips for Multi-Interviewer Panels</w:t>
      </w:r>
    </w:p>
    <w:p>
      <w:pPr>
        <w:pStyle w:val="ListParagraph"/>
        <w:numPr>
          <w:ilvl w:val="0"/>
          <w:numId w:val="2"/>
        </w:numPr>
        <w:spacing w:before="40" w:after="40"/>
      </w:pPr>
      <w:r>
        <w:rPr>
          <w:rFonts w:ascii="Arial" w:cs="Arial" w:eastAsia="Arial" w:hAnsi="Arial"/>
          <w:color w:val="111827"/>
          <w:sz w:val="20"/>
          <w:szCs w:val="20"/>
        </w:rPr>
        <w:t xml:space="preserve">Address answers to the person who asked, but make deliberate eye contact with the full panel at the conclusion of each response.</w:t>
      </w:r>
    </w:p>
    <w:p>
      <w:pPr>
        <w:pStyle w:val="ListParagraph"/>
        <w:numPr>
          <w:ilvl w:val="0"/>
          <w:numId w:val="2"/>
        </w:numPr>
        <w:spacing w:before="40" w:after="40"/>
      </w:pPr>
      <w:r>
        <w:rPr>
          <w:rFonts w:ascii="Arial" w:cs="Arial" w:eastAsia="Arial" w:hAnsi="Arial"/>
          <w:color w:val="111827"/>
          <w:sz w:val="20"/>
          <w:szCs w:val="20"/>
        </w:rPr>
        <w:t xml:space="preserve">If two interviewers seem to disagree in how they frame a question, acknowledge both perspectives—it shows emotional intelligence.</w:t>
      </w:r>
    </w:p>
    <w:p>
      <w:pPr>
        <w:pStyle w:val="ListParagraph"/>
        <w:numPr>
          <w:ilvl w:val="0"/>
          <w:numId w:val="2"/>
        </w:numPr>
        <w:spacing w:before="40" w:after="40"/>
      </w:pPr>
      <w:r>
        <w:rPr>
          <w:rFonts w:ascii="Arial" w:cs="Arial" w:eastAsia="Arial" w:hAnsi="Arial"/>
          <w:color w:val="111827"/>
          <w:sz w:val="20"/>
          <w:szCs w:val="20"/>
        </w:rPr>
        <w:t xml:space="preserve">Don't rush to fill silence. Panels often use pauses to see if candidates overexplain or stay composed.</w:t>
      </w:r>
    </w:p>
    <w:p>
      <w:pPr>
        <w:pStyle w:val="ListParagraph"/>
        <w:numPr>
          <w:ilvl w:val="0"/>
          <w:numId w:val="2"/>
        </w:numPr>
        <w:spacing w:before="40" w:after="40"/>
      </w:pPr>
      <w:r>
        <w:rPr>
          <w:rFonts w:ascii="Arial" w:cs="Arial" w:eastAsia="Arial" w:hAnsi="Arial"/>
          <w:color w:val="111827"/>
          <w:sz w:val="20"/>
          <w:szCs w:val="20"/>
        </w:rPr>
        <w:t xml:space="preserve">Ask each panelist a tailored question at the end—it demonstrates you were paying attention to who they are, not just what they asked.</w:t>
      </w:r>
    </w:p>
    <w:p>
      <w:pPr>
        <w:spacing w:before="120" w:after="0"/>
      </w:pPr>
      <w:r>
        <w:t xml:space="preserve"/>
      </w:r>
    </w:p>
    <w:p>
      <w:pPr>
        <w:pBdr>
          <w:bottom w:val="single" w:color="2563EB" w:sz="8" w:space="4"/>
        </w:pBdr>
        <w:spacing w:before="360" w:after="120"/>
      </w:pPr>
      <w:r>
        <w:rPr>
          <w:rFonts w:ascii="Arial" w:cs="Arial" w:eastAsia="Arial" w:hAnsi="Arial"/>
          <w:b/>
          <w:bCs/>
          <w:color w:val="1B3A6B"/>
          <w:sz w:val="28"/>
          <w:szCs w:val="28"/>
        </w:rPr>
        <w:t xml:space="preserve">6  |  Culture &amp; Company Fit</w:t>
      </w:r>
    </w:p>
    <w:p>
      <w:pPr>
        <w:spacing w:before="240" w:after="80"/>
      </w:pPr>
      <w:r>
        <w:rPr>
          <w:rFonts w:ascii="Arial" w:cs="Arial" w:eastAsia="Arial" w:hAnsi="Arial"/>
          <w:b/>
          <w:bCs/>
          <w:color w:val="2563EB"/>
          <w:sz w:val="22"/>
          <w:szCs w:val="22"/>
        </w:rPr>
        <w:t xml:space="preserve">Apogee's C.O.R.E. Values — How to Embody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720"/>
      </w:tblGrid>
      <w:tr>
        <w:tc>
          <w:tcPr>
            <w:tcW w:type="dxa" w:w="144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20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Means at Apogee</w:t>
            </w:r>
          </w:p>
        </w:tc>
        <w:tc>
          <w:tcPr>
            <w:tcW w:type="dxa" w:w="4720"/>
            <w:tcBorders>
              <w:top w:val="single" w:color="E5E7EB" w:sz="1"/>
              <w:left w:val="single" w:color="E5E7EB" w:sz="1"/>
              <w:bottom w:val="single" w:color="E5E7EB" w:sz="1"/>
              <w:right w:val="single" w:color="E5E7E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Your Alignment Point</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Caring</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Invested in patients, colleagues, and outcomes—not just deliverables.</w:t>
            </w:r>
          </w:p>
        </w:tc>
        <w:tc>
          <w:tcPr>
            <w:tcW w:type="dxa" w:w="4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Your rare disease career—accelerated approvals and first-in-class therapies—is defined by patient impact. Volunteer work (Community Boating, D&amp;I committees) signals you extend that care beyond the office.</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2563EB"/>
                <w:sz w:val="19"/>
                <w:szCs w:val="19"/>
              </w:rPr>
              <w:t xml:space="preserve">Original</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Refusing to settle for "good enough"—pushing methods and thinking forward.</w:t>
            </w:r>
          </w:p>
        </w:tc>
        <w:tc>
          <w:tcPr>
            <w:tcW w:type="dxa" w:w="4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Gene therapy statistical work at Editas (CRISPR/ex vivo) and AdCom preparation at Lantheus pushed the methodological frontier. Peer-reviewed publications show you take statistical thinking beyond the trial.</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2563EB"/>
                <w:sz w:val="19"/>
                <w:szCs w:val="19"/>
              </w:rPr>
              <w:t xml:space="preserve">Resilient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Navigating ambiguity and adversity without losing momentum.</w:t>
            </w:r>
          </w:p>
        </w:tc>
        <w:tc>
          <w:tcPr>
            <w:tcW w:type="dxa" w:w="4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Two restructuring-driven exits in 18 months, and you're here—focused, prepared, and clear on what you want. That is resilience in action. Own it.</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2563EB"/>
                <w:sz w:val="19"/>
                <w:szCs w:val="19"/>
              </w:rPr>
              <w:t xml:space="preserve">Egoless</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Collaborative, open to challenge, prioritizing the science over seniority.</w:t>
            </w:r>
          </w:p>
        </w:tc>
        <w:tc>
          <w:tcPr>
            <w:tcW w:type="dxa" w:w="47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19"/>
                <w:szCs w:val="19"/>
              </w:rPr>
              <w:t xml:space="preserve">You are comfortable stepping into an Associate Director title despite a Director track record because the mission and team matter more than the nameplate. That is the definition of egoless.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EFF6FF" w:val="clear"/>
            <w:tcMar>
              <w:top w:type="dxa" w:w="120"/>
              <w:left w:type="dxa" w:w="180"/>
              <w:bottom w:type="dxa" w:w="120"/>
              <w:right w:type="dxa" w:w="180"/>
            </w:tcMar>
          </w:tcPr>
          <w:p>
            <w:r>
              <w:rPr>
                <w:rFonts w:ascii="Arial" w:cs="Arial" w:eastAsia="Arial" w:hAnsi="Arial"/>
                <w:i/>
                <w:iCs/>
                <w:color w:val="1B3A6B"/>
                <w:sz w:val="19"/>
                <w:szCs w:val="19"/>
              </w:rPr>
              <w:t xml:space="preserve">Apogee's employees are described as genuinely enjoying working together—this is a cohesive, close team. Come prepared to be warm, curious, and specific about why you want to be in that room. Generic enthusiasm won't land here. The science and the culture both need to resonate authentically.</w:t>
            </w:r>
          </w:p>
        </w:tc>
      </w:tr>
    </w:tbl>
    <w:p>
      <w:pPr>
        <w:spacing w:before="120" w:after="0"/>
      </w:pPr>
      <w:r>
        <w:t xml:space="preserve"/>
      </w:r>
    </w:p>
    <w:p>
      <w:pPr>
        <w:pBdr>
          <w:bottom w:val="single" w:color="2563EB" w:sz="8" w:space="4"/>
        </w:pBdr>
        <w:spacing w:before="360" w:after="120"/>
      </w:pPr>
      <w:r>
        <w:rPr>
          <w:rFonts w:ascii="Arial" w:cs="Arial" w:eastAsia="Arial" w:hAnsi="Arial"/>
          <w:b/>
          <w:bCs/>
          <w:color w:val="1B3A6B"/>
          <w:sz w:val="28"/>
          <w:szCs w:val="28"/>
        </w:rPr>
        <w:t xml:space="preserve">7  |  Curated Questions for You to Ask</w:t>
      </w:r>
    </w:p>
    <w:p>
      <w:pPr>
        <w:spacing w:before="240" w:after="80"/>
      </w:pPr>
      <w:r>
        <w:rPr>
          <w:rFonts w:ascii="Arial" w:cs="Arial" w:eastAsia="Arial" w:hAnsi="Arial"/>
          <w:b/>
          <w:bCs/>
          <w:color w:val="2563EB"/>
          <w:sz w:val="22"/>
          <w:szCs w:val="22"/>
        </w:rPr>
        <w:t xml:space="preserve">Jimmy Yaji — HR Screen</w:t>
      </w:r>
    </w:p>
    <w:p>
      <w:pPr>
        <w:pStyle w:val="ListParagraph"/>
        <w:numPr>
          <w:ilvl w:val="0"/>
          <w:numId w:val="2"/>
        </w:numPr>
        <w:spacing w:before="40" w:after="40"/>
      </w:pPr>
      <w:r>
        <w:rPr>
          <w:rFonts w:ascii="Arial" w:cs="Arial" w:eastAsia="Arial" w:hAnsi="Arial"/>
          <w:color w:val="111827"/>
          <w:sz w:val="20"/>
          <w:szCs w:val="20"/>
        </w:rPr>
        <w:t xml:space="preserve">What does the first 90 days look like for the person who steps into this role—are there immediate deliverables or more of a ramp period?</w:t>
      </w:r>
    </w:p>
    <w:p>
      <w:pPr>
        <w:pStyle w:val="ListParagraph"/>
        <w:numPr>
          <w:ilvl w:val="0"/>
          <w:numId w:val="2"/>
        </w:numPr>
        <w:spacing w:before="40" w:after="40"/>
      </w:pPr>
      <w:r>
        <w:rPr>
          <w:rFonts w:ascii="Arial" w:cs="Arial" w:eastAsia="Arial" w:hAnsi="Arial"/>
          <w:color w:val="111827"/>
          <w:sz w:val="20"/>
          <w:szCs w:val="20"/>
        </w:rPr>
        <w:t xml:space="preserve">How would you describe the culture on the biostatistics team and its relationship with clinical development?</w:t>
      </w:r>
    </w:p>
    <w:p>
      <w:pPr>
        <w:pStyle w:val="ListParagraph"/>
        <w:numPr>
          <w:ilvl w:val="0"/>
          <w:numId w:val="2"/>
        </w:numPr>
        <w:spacing w:before="40" w:after="40"/>
      </w:pPr>
      <w:r>
        <w:rPr>
          <w:rFonts w:ascii="Arial" w:cs="Arial" w:eastAsia="Arial" w:hAnsi="Arial"/>
          <w:color w:val="111827"/>
          <w:sz w:val="20"/>
          <w:szCs w:val="20"/>
        </w:rPr>
        <w:t xml:space="preserve">What is the timeline for this search, and what does the interview process look like from here?</w:t>
      </w:r>
    </w:p>
    <w:p>
      <w:pPr>
        <w:spacing w:before="60" w:after="0"/>
      </w:pPr>
      <w:r>
        <w:t xml:space="preserve"/>
      </w:r>
    </w:p>
    <w:p>
      <w:pPr>
        <w:spacing w:before="240" w:after="80"/>
      </w:pPr>
      <w:r>
        <w:rPr>
          <w:rFonts w:ascii="Arial" w:cs="Arial" w:eastAsia="Arial" w:hAnsi="Arial"/>
          <w:b/>
          <w:bCs/>
          <w:color w:val="2563EB"/>
          <w:sz w:val="22"/>
          <w:szCs w:val="22"/>
        </w:rPr>
        <w:t xml:space="preserve">Richard Willey / Cindy Wu — Hiring Manager Round</w:t>
      </w:r>
    </w:p>
    <w:p>
      <w:pPr>
        <w:pStyle w:val="ListParagraph"/>
        <w:numPr>
          <w:ilvl w:val="0"/>
          <w:numId w:val="2"/>
        </w:numPr>
        <w:spacing w:before="40" w:after="40"/>
      </w:pPr>
      <w:r>
        <w:rPr>
          <w:rFonts w:ascii="Arial" w:cs="Arial" w:eastAsia="Arial" w:hAnsi="Arial"/>
          <w:color w:val="111827"/>
          <w:sz w:val="20"/>
          <w:szCs w:val="20"/>
        </w:rPr>
        <w:t xml:space="preserve">Which programs would I be supporting immediately, and what is the statistical maturity of each?</w:t>
      </w:r>
    </w:p>
    <w:p>
      <w:pPr>
        <w:pStyle w:val="ListParagraph"/>
        <w:numPr>
          <w:ilvl w:val="0"/>
          <w:numId w:val="2"/>
        </w:numPr>
        <w:spacing w:before="40" w:after="40"/>
      </w:pPr>
      <w:r>
        <w:rPr>
          <w:rFonts w:ascii="Arial" w:cs="Arial" w:eastAsia="Arial" w:hAnsi="Arial"/>
          <w:color w:val="111827"/>
          <w:sz w:val="20"/>
          <w:szCs w:val="20"/>
        </w:rPr>
        <w:t xml:space="preserve">As Apogee builds out internal capacity, how are you thinking about the long-term structure of the biostatistics function?</w:t>
      </w:r>
    </w:p>
    <w:p>
      <w:pPr>
        <w:pStyle w:val="ListParagraph"/>
        <w:numPr>
          <w:ilvl w:val="0"/>
          <w:numId w:val="2"/>
        </w:numPr>
        <w:spacing w:before="40" w:after="40"/>
      </w:pPr>
      <w:r>
        <w:rPr>
          <w:rFonts w:ascii="Arial" w:cs="Arial" w:eastAsia="Arial" w:hAnsi="Arial"/>
          <w:color w:val="111827"/>
          <w:sz w:val="20"/>
          <w:szCs w:val="20"/>
        </w:rPr>
        <w:t xml:space="preserve">What is the biggest statistical challenge on your plate right now—and where does this role fit in solving it?</w:t>
      </w:r>
    </w:p>
    <w:p>
      <w:pPr>
        <w:pStyle w:val="ListParagraph"/>
        <w:numPr>
          <w:ilvl w:val="0"/>
          <w:numId w:val="2"/>
        </w:numPr>
        <w:spacing w:before="40" w:after="40"/>
      </w:pPr>
      <w:r>
        <w:rPr>
          <w:rFonts w:ascii="Arial" w:cs="Arial" w:eastAsia="Arial" w:hAnsi="Arial"/>
          <w:color w:val="111827"/>
          <w:sz w:val="20"/>
          <w:szCs w:val="20"/>
        </w:rPr>
        <w:t xml:space="preserve">How does the team approach estimand methodology given the regulatory evolution under ICH E9(R1)? Is there a house standard, or is it study-by-study?</w:t>
      </w:r>
    </w:p>
    <w:p>
      <w:pPr>
        <w:pStyle w:val="ListParagraph"/>
        <w:numPr>
          <w:ilvl w:val="0"/>
          <w:numId w:val="2"/>
        </w:numPr>
        <w:spacing w:before="40" w:after="40"/>
      </w:pPr>
      <w:r>
        <w:rPr>
          <w:rFonts w:ascii="Arial" w:cs="Arial" w:eastAsia="Arial" w:hAnsi="Arial"/>
          <w:color w:val="111827"/>
          <w:sz w:val="20"/>
          <w:szCs w:val="20"/>
        </w:rPr>
        <w:t xml:space="preserve">What has made past hires successful in this function at Apogee?</w:t>
      </w:r>
    </w:p>
    <w:p>
      <w:pPr>
        <w:spacing w:before="60" w:after="0"/>
      </w:pPr>
      <w:r>
        <w:t xml:space="preserve"/>
      </w:r>
    </w:p>
    <w:p>
      <w:pPr>
        <w:spacing w:before="240" w:after="80"/>
      </w:pPr>
      <w:r>
        <w:rPr>
          <w:rFonts w:ascii="Arial" w:cs="Arial" w:eastAsia="Arial" w:hAnsi="Arial"/>
          <w:b/>
          <w:bCs/>
          <w:color w:val="2563EB"/>
          <w:sz w:val="22"/>
          <w:szCs w:val="22"/>
        </w:rPr>
        <w:t xml:space="preserve">Panel / Final Round</w:t>
      </w:r>
    </w:p>
    <w:p>
      <w:pPr>
        <w:pStyle w:val="ListParagraph"/>
        <w:numPr>
          <w:ilvl w:val="0"/>
          <w:numId w:val="2"/>
        </w:numPr>
        <w:spacing w:before="40" w:after="40"/>
      </w:pPr>
      <w:r>
        <w:rPr>
          <w:rFonts w:ascii="Arial" w:cs="Arial" w:eastAsia="Arial" w:hAnsi="Arial"/>
          <w:color w:val="111827"/>
          <w:sz w:val="20"/>
          <w:szCs w:val="20"/>
        </w:rPr>
        <w:t xml:space="preserve">How do the clinical development and biostatistics teams collaborate on study design—are statisticians in the room at the earliest stages of protocol development?</w:t>
      </w:r>
    </w:p>
    <w:p>
      <w:pPr>
        <w:pStyle w:val="ListParagraph"/>
        <w:numPr>
          <w:ilvl w:val="0"/>
          <w:numId w:val="2"/>
        </w:numPr>
        <w:spacing w:before="40" w:after="40"/>
      </w:pPr>
      <w:r>
        <w:rPr>
          <w:rFonts w:ascii="Arial" w:cs="Arial" w:eastAsia="Arial" w:hAnsi="Arial"/>
          <w:color w:val="111827"/>
          <w:sz w:val="20"/>
          <w:szCs w:val="20"/>
        </w:rPr>
        <w:t xml:space="preserve">What does the feedback loop between internal statistics and the CRO look like in practice—how much real-time oversight is expected?</w:t>
      </w:r>
    </w:p>
    <w:p>
      <w:pPr>
        <w:pStyle w:val="ListParagraph"/>
        <w:numPr>
          <w:ilvl w:val="0"/>
          <w:numId w:val="2"/>
        </w:numPr>
        <w:spacing w:before="40" w:after="40"/>
      </w:pPr>
      <w:r>
        <w:rPr>
          <w:rFonts w:ascii="Arial" w:cs="Arial" w:eastAsia="Arial" w:hAnsi="Arial"/>
          <w:color w:val="111827"/>
          <w:sz w:val="20"/>
          <w:szCs w:val="20"/>
        </w:rPr>
        <w:t xml:space="preserve">What aspects of Apogee's culture have surprised you since joining?</w:t>
      </w:r>
    </w:p>
    <w:p>
      <w:pPr>
        <w:pStyle w:val="ListParagraph"/>
        <w:numPr>
          <w:ilvl w:val="0"/>
          <w:numId w:val="2"/>
        </w:numPr>
        <w:spacing w:before="40" w:after="40"/>
      </w:pPr>
      <w:r>
        <w:rPr>
          <w:rFonts w:ascii="Arial" w:cs="Arial" w:eastAsia="Arial" w:hAnsi="Arial"/>
          <w:color w:val="111827"/>
          <w:sz w:val="20"/>
          <w:szCs w:val="20"/>
        </w:rPr>
        <w:t xml:space="preserve">Where is Apogee in two years, and what role does this team play in getting there?</w:t>
      </w:r>
    </w:p>
    <w:p>
      <w:pPr>
        <w:spacing w:before="200" w:after="0"/>
      </w:pPr>
      <w:r>
        <w:t xml:space="preserve"/>
      </w:r>
    </w:p>
    <w:p>
      <w:pPr>
        <w:pBdr>
          <w:top w:val="single" w:color="E5E7EB" w:sz="4" w:space="6"/>
        </w:pBdr>
        <w:spacing w:before="120"/>
        <w:jc w:val="center"/>
      </w:pPr>
      <w:r>
        <w:rPr>
          <w:rFonts w:ascii="Arial" w:cs="Arial" w:eastAsia="Arial" w:hAnsi="Arial"/>
          <w:i/>
          <w:iCs/>
          <w:color w:val="6B7280"/>
          <w:sz w:val="17"/>
          <w:szCs w:val="17"/>
        </w:rPr>
        <w:t xml:space="preserve">Prepared by Bryan Blair  ·  GQR Global Markets  ·  </w:t>
      </w:r>
      <w:r>
        <w:rPr>
          <w:rFonts w:ascii="Arial" w:cs="Arial" w:eastAsia="Arial" w:hAnsi="Arial"/>
          <w:b/>
          <w:bCs/>
          <w:i/>
          <w:iCs/>
          <w:color w:val="6B7280"/>
          <w:sz w:val="17"/>
          <w:szCs w:val="17"/>
        </w:rPr>
        <w:t xml:space="preserve">Confidential — For Candidate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2026-03-11T21:11:22.424Z</dcterms:created>
  <dcterms:modified xsi:type="dcterms:W3CDTF">2026-03-11T21:11:22.425Z</dcterms:modified>
</cp:coreProperties>
</file>

<file path=docProps/custom.xml><?xml version="1.0" encoding="utf-8"?>
<Properties xmlns="http://schemas.openxmlformats.org/officeDocument/2006/custom-properties" xmlns:vt="http://schemas.openxmlformats.org/officeDocument/2006/docPropsVTypes"/>
</file>