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5CA" w14:textId="77777777" w:rsidR="00BD39AF" w:rsidRDefault="00E33A20">
      <w:pPr>
        <w:pStyle w:val="Heading1"/>
      </w:pPr>
      <w:r>
        <w:t>Pliant Therapeutics – Medical Monitor Interview Prep Guide</w:t>
      </w:r>
    </w:p>
    <w:p w14:paraId="7558E7A4" w14:textId="77777777" w:rsidR="00BD39AF" w:rsidRDefault="00E33A20">
      <w:pPr>
        <w:pStyle w:val="Heading2"/>
      </w:pPr>
      <w:r>
        <w:t>1. Role Overview &amp; Interview Context</w:t>
      </w:r>
    </w:p>
    <w:p w14:paraId="6EBB86CC" w14:textId="77777777" w:rsidR="00BD39AF" w:rsidRDefault="00E33A20">
      <w:r>
        <w:t>• Position: Medical Monitor (6-month contract, 40 hours/week; potential for extension/conversion)</w:t>
      </w:r>
    </w:p>
    <w:p w14:paraId="2B2F22A4" w14:textId="77777777" w:rsidR="00BD39AF" w:rsidRDefault="00E33A20">
      <w:r>
        <w:t xml:space="preserve">• Key Focus: Overseeing safety for a Phase II/III </w:t>
      </w:r>
      <w:r>
        <w:t>clinical trial during a voluntary safety review, while ensuring continuous trial operations.</w:t>
      </w:r>
    </w:p>
    <w:p w14:paraId="4A50C206" w14:textId="77777777" w:rsidR="00BD39AF" w:rsidRDefault="00E33A20">
      <w:r>
        <w:t>• Interview Structure:</w:t>
      </w:r>
      <w:r>
        <w:br/>
      </w:r>
      <w:r>
        <w:tab/>
        <w:t>– A 45-minute conversation with Chohee, possibly followed by a 30-minute discussion with Greg.</w:t>
      </w:r>
    </w:p>
    <w:p w14:paraId="17302EDB" w14:textId="77777777" w:rsidR="00BD39AF" w:rsidRDefault="00E33A20">
      <w:pPr>
        <w:pStyle w:val="Heading2"/>
      </w:pPr>
      <w:r>
        <w:t>2. Key Competencies &amp; How to Showcase Them</w:t>
      </w:r>
    </w:p>
    <w:p w14:paraId="2E8256C2" w14:textId="77777777" w:rsidR="00BD39AF" w:rsidRDefault="00E33A20">
      <w:pPr>
        <w:pStyle w:val="Heading3"/>
      </w:pPr>
      <w:r>
        <w:t>A. Crisis Response &amp; Urgency</w:t>
      </w:r>
    </w:p>
    <w:p w14:paraId="59472A17" w14:textId="77777777" w:rsidR="00BD39AF" w:rsidRDefault="00E33A20">
      <w:r>
        <w:t>• What They’re Looking For:</w:t>
      </w:r>
      <w:r>
        <w:br/>
      </w:r>
      <w:r>
        <w:tab/>
        <w:t>– Ability to rapidly triage and address safety data during an active external review.</w:t>
      </w:r>
      <w:r>
        <w:br/>
      </w:r>
      <w:r>
        <w:tab/>
        <w:t>– A clear method for distinguishing critical from non-critical safety signals.</w:t>
      </w:r>
    </w:p>
    <w:p w14:paraId="1A26977D" w14:textId="77777777" w:rsidR="00BD39AF" w:rsidRDefault="00E33A20">
      <w:r>
        <w:t>• Your Talking Points:</w:t>
      </w:r>
      <w:r>
        <w:br/>
      </w:r>
      <w:r>
        <w:tab/>
        <w:t>– Draw on examples from HilleVax or Inovio where you quickly resolved urgent safety concerns.</w:t>
      </w:r>
      <w:r>
        <w:br/>
      </w:r>
      <w:r>
        <w:tab/>
        <w:t>– Use the STAR method to detail situations where your rapid response minimized risk and maintained trial momentum.</w:t>
      </w:r>
    </w:p>
    <w:p w14:paraId="558E55CC" w14:textId="77777777" w:rsidR="00BD39AF" w:rsidRDefault="00E33A20">
      <w:pPr>
        <w:pStyle w:val="Heading3"/>
      </w:pPr>
      <w:r>
        <w:t>B. Blinded Study Vigilance &amp; Data Integrity</w:t>
      </w:r>
    </w:p>
    <w:p w14:paraId="507E6693" w14:textId="77777777" w:rsidR="00BD39AF" w:rsidRDefault="00E33A20">
      <w:r>
        <w:t>• What They’re Looking For:</w:t>
      </w:r>
      <w:r>
        <w:br/>
      </w:r>
      <w:r>
        <w:tab/>
        <w:t>– Maintaining protocol integrity and safety oversight under blinded conditions.</w:t>
      </w:r>
      <w:r>
        <w:br/>
      </w:r>
      <w:r>
        <w:tab/>
        <w:t>– Effective communication with DMCs and internal/external stakeholders.</w:t>
      </w:r>
    </w:p>
    <w:p w14:paraId="1C31EBB9" w14:textId="77777777" w:rsidR="00BD39AF" w:rsidRDefault="00E33A20">
      <w:r>
        <w:t>• Your Talking Points:</w:t>
      </w:r>
      <w:r>
        <w:br/>
      </w:r>
      <w:r>
        <w:tab/>
        <w:t>– Discuss your experience leading blinded trials, such as managing DMC interactions and ensuring robust safety reviews.</w:t>
      </w:r>
      <w:r>
        <w:br/>
      </w:r>
      <w:r>
        <w:tab/>
        <w:t>– Highlight specific steps you’ve taken to safeguard data integrity during high-pressure reviews.</w:t>
      </w:r>
    </w:p>
    <w:p w14:paraId="422CD546" w14:textId="77777777" w:rsidR="00BD39AF" w:rsidRDefault="00E33A20">
      <w:pPr>
        <w:pStyle w:val="Heading3"/>
      </w:pPr>
      <w:r>
        <w:t>C. Therapeutic Transition &amp; Adaptability</w:t>
      </w:r>
    </w:p>
    <w:p w14:paraId="4CFEB9B1" w14:textId="77777777" w:rsidR="00BD39AF" w:rsidRDefault="00E33A20">
      <w:r>
        <w:t>• What They’re Looking For:</w:t>
      </w:r>
      <w:r>
        <w:br/>
      </w:r>
      <w:r>
        <w:tab/>
        <w:t>– Ability to transfer your extensive experience in vaccines/oncology to a new therapeutic area (pulmonary/cardiology).</w:t>
      </w:r>
    </w:p>
    <w:p w14:paraId="63269E47" w14:textId="77777777" w:rsidR="00BD39AF" w:rsidRDefault="00E33A20">
      <w:r>
        <w:t>• Your Talking Points:</w:t>
      </w:r>
      <w:r>
        <w:br/>
      </w:r>
      <w:r>
        <w:tab/>
        <w:t xml:space="preserve">– Emphasize your versatile clinical oversight skills and rapid learning in adapting to </w:t>
      </w:r>
      <w:r>
        <w:lastRenderedPageBreak/>
        <w:t>different therapeutic areas.</w:t>
      </w:r>
      <w:r>
        <w:br/>
      </w:r>
      <w:r>
        <w:tab/>
        <w:t>– Offer examples where you swiftly mastered new protocols and successfully managed clinical safety in unfamiliar settings.</w:t>
      </w:r>
    </w:p>
    <w:p w14:paraId="5B9307F9" w14:textId="77777777" w:rsidR="00BD39AF" w:rsidRDefault="00E33A20">
      <w:pPr>
        <w:pStyle w:val="Heading3"/>
      </w:pPr>
      <w:r>
        <w:t>D. Contractor Mindset &amp; Immediate Impact</w:t>
      </w:r>
    </w:p>
    <w:p w14:paraId="32A5B0CD" w14:textId="77777777" w:rsidR="00BD39AF" w:rsidRDefault="00E33A20">
      <w:r>
        <w:t>• What They’re Looking For:</w:t>
      </w:r>
      <w:r>
        <w:br/>
      </w:r>
      <w:r>
        <w:tab/>
        <w:t>– Readiness to hit the ground running in a contract role.</w:t>
      </w:r>
      <w:r>
        <w:br/>
      </w:r>
      <w:r>
        <w:tab/>
        <w:t>– Confidence in managing responsibilities independently while aligning with trial objectives.</w:t>
      </w:r>
    </w:p>
    <w:p w14:paraId="197C7E0B" w14:textId="77777777" w:rsidR="00BD39AF" w:rsidRDefault="00E33A20">
      <w:r>
        <w:t>• Your Talking Points:</w:t>
      </w:r>
      <w:r>
        <w:br/>
      </w:r>
      <w:r>
        <w:tab/>
        <w:t>– Outline your transition from permanent roles to contract positions, underscoring your ability to quickly assimilate into new environments.</w:t>
      </w:r>
      <w:r>
        <w:br/>
      </w:r>
      <w:r>
        <w:tab/>
        <w:t>– Mention any systems or processes you implemented that led to immediate, measurable improvements in trial operations.</w:t>
      </w:r>
    </w:p>
    <w:p w14:paraId="57FC301B" w14:textId="77777777" w:rsidR="00BD39AF" w:rsidRDefault="00E33A20">
      <w:pPr>
        <w:pStyle w:val="Heading2"/>
      </w:pPr>
      <w:r>
        <w:t>3. Anticipated Interview Questions &amp; How to Answer Them</w:t>
      </w:r>
    </w:p>
    <w:p w14:paraId="00CE59EC" w14:textId="77777777" w:rsidR="00BD39AF" w:rsidRDefault="00E33A20">
      <w:pPr>
        <w:pStyle w:val="Heading3"/>
      </w:pPr>
      <w:r>
        <w:t>Scenario &amp; Crisis Questions:</w:t>
      </w:r>
    </w:p>
    <w:p w14:paraId="075C6B9C" w14:textId="77777777" w:rsidR="00BD39AF" w:rsidRDefault="00E33A20">
      <w:r>
        <w:t>• Example: “You inherit a study where 12 SAEs were mismarked as non-urgent by the previous monitor. How would you validate the classifications within 48 hours?”</w:t>
      </w:r>
    </w:p>
    <w:p w14:paraId="7F98EDFA" w14:textId="77777777" w:rsidR="00BD39AF" w:rsidRDefault="00E33A20">
      <w:r>
        <w:tab/>
        <w:t>– Tip: Detail your crisis management approach—how you’d quickly audit the data, reclassify SAEs using your experience, and communicate findings to sites while maintaining trust.</w:t>
      </w:r>
    </w:p>
    <w:p w14:paraId="28EE7EE7" w14:textId="77777777" w:rsidR="00BD39AF" w:rsidRDefault="00E33A20">
      <w:pPr>
        <w:pStyle w:val="Heading3"/>
      </w:pPr>
      <w:r>
        <w:t>Behavioral Questions:</w:t>
      </w:r>
    </w:p>
    <w:p w14:paraId="60873583" w14:textId="77777777" w:rsidR="00BD39AF" w:rsidRDefault="00E33A20">
      <w:r>
        <w:t>• Example: “Describe a time you expedited a safety review during a blinded trial without compromising rigor.”</w:t>
      </w:r>
    </w:p>
    <w:p w14:paraId="3E1CDB60" w14:textId="77777777" w:rsidR="00BD39AF" w:rsidRDefault="00E33A20">
      <w:r>
        <w:tab/>
        <w:t>– Tip: Use a concrete example (e.g., from your time at HilleVax) that illustrates your methodical yet rapid approach to safety oversight.</w:t>
      </w:r>
    </w:p>
    <w:p w14:paraId="7418C438" w14:textId="77777777" w:rsidR="00BD39AF" w:rsidRDefault="00E33A20">
      <w:pPr>
        <w:pStyle w:val="Heading3"/>
      </w:pPr>
      <w:r>
        <w:t>Technical Drill:</w:t>
      </w:r>
    </w:p>
    <w:p w14:paraId="752C8A15" w14:textId="77777777" w:rsidR="00BD39AF" w:rsidRDefault="00E33A20">
      <w:r>
        <w:t>• Example: “Walk us through your Medidata/Rave workflow for daily SAE surveillance and DMC report preparation.”</w:t>
      </w:r>
    </w:p>
    <w:p w14:paraId="48BA3DA4" w14:textId="77777777" w:rsidR="00BD39AF" w:rsidRDefault="00E33A20">
      <w:r>
        <w:tab/>
        <w:t>– Tip: Be ready to explain your systematic process, emphasizing metrics such as turnaround times and key checks you perform daily to ensure compliance and data integrity.</w:t>
      </w:r>
    </w:p>
    <w:p w14:paraId="2BDB99B7" w14:textId="77777777" w:rsidR="00BD39AF" w:rsidRDefault="00E33A20">
      <w:pPr>
        <w:pStyle w:val="Heading3"/>
      </w:pPr>
      <w:r>
        <w:t>Conflict Resolution:</w:t>
      </w:r>
    </w:p>
    <w:p w14:paraId="22A4D2DB" w14:textId="77777777" w:rsidR="00BD39AF" w:rsidRDefault="00E33A20">
      <w:r>
        <w:t>• Example: “How do you handle a site PI requesting unblinding after media speculation about safety?”</w:t>
      </w:r>
    </w:p>
    <w:p w14:paraId="2839D914" w14:textId="77777777" w:rsidR="00BD39AF" w:rsidRDefault="00E33A20">
      <w:r>
        <w:lastRenderedPageBreak/>
        <w:tab/>
        <w:t xml:space="preserve">– Tip: Stress the importance of maintaining trial </w:t>
      </w:r>
      <w:r>
        <w:t>integrity, your experience handling sensitive communications, and methods for de-escalating concerns while keeping the study on track.</w:t>
      </w:r>
    </w:p>
    <w:p w14:paraId="4E498C9C" w14:textId="77777777" w:rsidR="00BD39AF" w:rsidRDefault="00E33A20">
      <w:pPr>
        <w:pStyle w:val="Heading2"/>
      </w:pPr>
      <w:r>
        <w:t>4. Addressing Potential Gaps &amp; Strategic Alignment</w:t>
      </w:r>
    </w:p>
    <w:p w14:paraId="76A42D49" w14:textId="77777777" w:rsidR="00BD39AF" w:rsidRDefault="00E33A20">
      <w:r>
        <w:t>• Therapeutic Focus Transition:</w:t>
      </w:r>
      <w:r>
        <w:br/>
      </w:r>
      <w:r>
        <w:tab/>
        <w:t>– If questioned on your limited experience in pulmonology or cardiology, confidently explain how your diverse background in vaccine/oncology trials has equipped you with a strong foundation in safety monitoring.</w:t>
      </w:r>
      <w:r>
        <w:br/>
      </w:r>
      <w:r>
        <w:tab/>
        <w:t>– Outline a learning plan you’d implement immediately to bridge any knowledge gaps, emphasizing your history of quick adaptation in dynamic environments.</w:t>
      </w:r>
    </w:p>
    <w:p w14:paraId="136A49F3" w14:textId="77777777" w:rsidR="00BD39AF" w:rsidRDefault="00E33A20">
      <w:r>
        <w:t>• Contract Role Dynamics:</w:t>
      </w:r>
      <w:r>
        <w:br/>
      </w:r>
      <w:r>
        <w:tab/>
        <w:t>– Address how you manage the rapid onboarding process and ensure continuity in contract roles.</w:t>
      </w:r>
      <w:r>
        <w:br/>
      </w:r>
      <w:r>
        <w:tab/>
        <w:t>– Highlight your proactive communication skills and ability to implement systems for immediate operational impact.</w:t>
      </w:r>
    </w:p>
    <w:p w14:paraId="6FA3AFA3" w14:textId="77777777" w:rsidR="00BD39AF" w:rsidRDefault="00E33A20">
      <w:pPr>
        <w:pStyle w:val="Heading2"/>
      </w:pPr>
      <w:r>
        <w:t>5. Questions for Your Interviewers</w:t>
      </w:r>
    </w:p>
    <w:p w14:paraId="7596018A" w14:textId="77777777" w:rsidR="00BD39AF" w:rsidRDefault="00E33A20">
      <w:r>
        <w:t>Prepare a few strategic questions that demonstrate your proactive thinking and deep interest in the role:</w:t>
      </w:r>
      <w:r>
        <w:br/>
        <w:t>• “What specific metrics will define success in the first 30 days for this role?”</w:t>
      </w:r>
      <w:r>
        <w:br/>
        <w:t>• “How does the external safety review process impact the authority and decision-making power of the Medical Monitor?”</w:t>
      </w:r>
      <w:r>
        <w:br/>
        <w:t>• “Could you explain the escalation protocols for reconciling feedback between the external safety board and internal safety assessments?”</w:t>
      </w:r>
      <w:r>
        <w:br/>
        <w:t>• “How does Pliant plan to support the transition for someone new to the therapeutic area, and what are the expectations for immediate integration?”</w:t>
      </w:r>
    </w:p>
    <w:p w14:paraId="16C5F8C1" w14:textId="77777777" w:rsidR="00BD39AF" w:rsidRDefault="00E33A20">
      <w:pPr>
        <w:pStyle w:val="Heading2"/>
      </w:pPr>
      <w:r>
        <w:t>6. Final Preparation Tips</w:t>
      </w:r>
    </w:p>
    <w:p w14:paraId="43E4D410" w14:textId="77777777" w:rsidR="00BD39AF" w:rsidRDefault="00E33A20">
      <w:r>
        <w:t>• Review Your Examples: Practice articulating your STAR responses clearly and concisely.</w:t>
      </w:r>
    </w:p>
    <w:p w14:paraId="3CA83C62" w14:textId="77777777" w:rsidR="00BD39AF" w:rsidRDefault="00E33A20">
      <w:r>
        <w:t>• Technical Refresh: Brush up on your Medidata/Rave workflow and be ready to discuss it in detail.</w:t>
      </w:r>
    </w:p>
    <w:p w14:paraId="1D215BE3" w14:textId="77777777" w:rsidR="00BD39AF" w:rsidRDefault="00E33A20">
      <w:r>
        <w:t>• Mock Interview: Consider a rehearsal with a colleague or mentor focusing on crisis scenarios and technical drills.</w:t>
      </w:r>
    </w:p>
    <w:p w14:paraId="23CED69A" w14:textId="77777777" w:rsidR="00BD39AF" w:rsidRDefault="00E33A20">
      <w:r>
        <w:t>• Stay Authentic: Let your passion for clinical safety and adaptive approach shine through. Humor and a relaxed, professional tone can make your responses memorable while reinforcing your expertise.</w:t>
      </w:r>
    </w:p>
    <w:sectPr w:rsidR="00BD3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13794">
    <w:abstractNumId w:val="8"/>
  </w:num>
  <w:num w:numId="2" w16cid:durableId="1719403253">
    <w:abstractNumId w:val="6"/>
  </w:num>
  <w:num w:numId="3" w16cid:durableId="434133000">
    <w:abstractNumId w:val="5"/>
  </w:num>
  <w:num w:numId="4" w16cid:durableId="855270427">
    <w:abstractNumId w:val="4"/>
  </w:num>
  <w:num w:numId="5" w16cid:durableId="2029912274">
    <w:abstractNumId w:val="7"/>
  </w:num>
  <w:num w:numId="6" w16cid:durableId="1067069272">
    <w:abstractNumId w:val="3"/>
  </w:num>
  <w:num w:numId="7" w16cid:durableId="717050671">
    <w:abstractNumId w:val="2"/>
  </w:num>
  <w:num w:numId="8" w16cid:durableId="1521047835">
    <w:abstractNumId w:val="1"/>
  </w:num>
  <w:num w:numId="9" w16cid:durableId="53000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3B2"/>
    <w:rsid w:val="00AA1D8D"/>
    <w:rsid w:val="00B47730"/>
    <w:rsid w:val="00BD39AF"/>
    <w:rsid w:val="00CB0664"/>
    <w:rsid w:val="00E33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3E0B0"/>
  <w14:defaultImageDpi w14:val="300"/>
  <w15:docId w15:val="{E0A865FC-12A2-4627-BD19-CEE1313C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770</Words>
  <Characters>4771</Characters>
  <Application>Microsoft Office Word</Application>
  <DocSecurity>0</DocSecurity>
  <Lines>103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2025-02-18T22:32:00Z</dcterms:created>
  <dcterms:modified xsi:type="dcterms:W3CDTF">2025-02-18T22:32:00Z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f10ec6fd3ff503db8307fe9116b875c1314026e6a3a1c3a3e4bb176e36af4fd4</vt:lpwstr>
  </property>
</Properties>
</file>