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4E79"/>
          <w:sz w:val="40"/>
          <w:szCs w:val="40"/>
        </w:rPr>
        <w:t xml:space="preserve">INTERVIEW PREPARATION GUIDE</w:t>
      </w:r>
    </w:p>
    <w:p>
      <w:pPr>
        <w:spacing w:before="0" w:after="60"/>
        <w:jc w:val="center"/>
      </w:pPr>
      <w:r>
        <w:rPr>
          <w:rFonts w:ascii="Arial" w:cs="Arial" w:eastAsia="Arial" w:hAnsi="Arial"/>
          <w:color w:val="444444"/>
          <w:sz w:val="26"/>
          <w:szCs w:val="26"/>
        </w:rPr>
        <w:t xml:space="preserve">Tielin Qin  ·  Associate Director, Biostatistics</w:t>
      </w:r>
    </w:p>
    <w:p>
      <w:pPr>
        <w:spacing w:before="0" w:after="240"/>
        <w:jc w:val="center"/>
      </w:pPr>
      <w:r>
        <w:rPr>
          <w:rFonts w:ascii="Arial" w:cs="Arial" w:eastAsia="Arial" w:hAnsi="Arial"/>
          <w:i/>
          <w:iCs/>
          <w:color w:val="777777"/>
          <w:sz w:val="20"/>
          <w:szCs w:val="20"/>
        </w:rPr>
        <w:t xml:space="preserve">Apogee Therapeutics  ·  Remote  ·  Prepared by GQR Global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Associate Director, Biostatistics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Company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Apogee Therapeutics (NASDAQ: APGE)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Fully Remote (15% travel for All Hands + key Phase 3 meetings)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Compensation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$195K–$215K base + bonus + equity — you are positioned near the midpoint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Hiring Managers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Richard Willey &amp; Cindy Wu</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GQR Global Markets</w:t>
            </w:r>
          </w:p>
        </w:tc>
      </w:tr>
    </w:tbl>
    <w:p>
      <w:pPr>
        <w:spacing w:before="60" w:after="60"/>
      </w:pPr>
      <w:r>
        <w:t xml:space="preserve"/>
      </w:r>
    </w:p>
    <w:p>
      <w:pPr>
        <w:pStyle w:val="Heading1"/>
        <w:pBdr>
          <w:bottom w:val="single" w:color="2E75B6" w:sz="6" w:space="1"/>
        </w:pBdr>
        <w:spacing w:before="300" w:after="120"/>
      </w:pPr>
      <w:r>
        <w:rPr>
          <w:rFonts w:ascii="Arial" w:cs="Arial" w:eastAsia="Arial" w:hAnsi="Arial"/>
          <w:b/>
          <w:bCs/>
          <w:color w:val="1F4E79"/>
          <w:sz w:val="30"/>
          <w:szCs w:val="30"/>
        </w:rPr>
        <w:t xml:space="preserve">1. Role Overview &amp; Key Themes</w:t>
      </w:r>
    </w:p>
    <w:p>
      <w:pPr>
        <w:spacing w:before="60" w:after="60"/>
      </w:pPr>
      <w:r>
        <w:rPr>
          <w:rFonts w:ascii="Arial" w:cs="Arial" w:eastAsia="Arial" w:hAnsi="Arial"/>
          <w:sz w:val="20"/>
          <w:szCs w:val="20"/>
        </w:rPr>
        <w:t xml:space="preserve">Apogee is a well-funded, Nasdaq-listed clinical-stage biotech launched in 2022 and focused on differentiated biologics for immunology and inflammatory (I&amp;I) diseases. Their lead program, zumilokibart (APG777), targets atopic dermatitis and asthma. With four validated programs in the pipeline, the company is scaling from early-stage into pivotal Phase 3 work — making this a high-impact moment to join.</w:t>
      </w:r>
    </w:p>
    <w:p>
      <w:pPr>
        <w:spacing w:before="60" w:after="60"/>
      </w:pPr>
      <w:r>
        <w:t xml:space="preserve"/>
      </w:r>
    </w:p>
    <w:p>
      <w:pPr>
        <w:spacing w:before="60" w:after="60"/>
      </w:pPr>
      <w:r>
        <w:rPr>
          <w:rFonts w:ascii="Arial" w:cs="Arial" w:eastAsia="Arial" w:hAnsi="Arial"/>
          <w:sz w:val="20"/>
          <w:szCs w:val="20"/>
        </w:rPr>
        <w:t xml:space="preserve">The AD Biostatistics role is positioned as mid-level statistical leadership: you own study-level statistical strategy, author and defend SAPs, oversee CRO deliverables, and serve as the biostatistics voice on cross-functional project teams. This is hands-on technical leadership — not purely strategic, and not entry-level execution.</w:t>
      </w:r>
    </w:p>
    <w:p>
      <w:pPr>
        <w:spacing w:before="60" w:after="60"/>
      </w:pPr>
      <w:r>
        <w:t xml:space="preserve"/>
      </w:r>
    </w:p>
    <w:p>
      <w:pPr>
        <w:spacing w:before="160" w:after="60"/>
      </w:pPr>
      <w:r>
        <w:rPr>
          <w:rFonts w:ascii="Arial" w:cs="Arial" w:eastAsia="Arial" w:hAnsi="Arial"/>
          <w:b/>
          <w:bCs/>
          <w:color w:val="333333"/>
          <w:sz w:val="22"/>
          <w:szCs w:val="22"/>
        </w:rPr>
        <w:t xml:space="preserve">What Matters Most — Straight from the Hiring Team</w:t>
      </w:r>
    </w:p>
    <w:p>
      <w:pPr>
        <w:pStyle w:val="ListParagraph"/>
        <w:numPr>
          <w:ilvl w:val="0"/>
          <w:numId w:val="2"/>
        </w:numPr>
        <w:spacing w:before="40" w:after="40"/>
      </w:pPr>
      <w:r>
        <w:rPr>
          <w:rFonts w:ascii="Arial" w:cs="Arial" w:eastAsia="Arial" w:hAnsi="Arial"/>
          <w:sz w:val="20"/>
          <w:szCs w:val="20"/>
        </w:rPr>
        <w:t xml:space="preserve">Executive presence and communication: This is the #1 differentiator. Candidates who look strong on paper have stumbled in interviews. They want someone who can present and defend statistical ideas clearly to non-statisticians.</w:t>
      </w:r>
    </w:p>
    <w:p>
      <w:pPr>
        <w:pStyle w:val="ListParagraph"/>
        <w:numPr>
          <w:ilvl w:val="0"/>
          <w:numId w:val="2"/>
        </w:numPr>
        <w:spacing w:before="40" w:after="40"/>
      </w:pPr>
      <w:r>
        <w:rPr>
          <w:rFonts w:ascii="Arial" w:cs="Arial" w:eastAsia="Arial" w:hAnsi="Arial"/>
          <w:sz w:val="20"/>
          <w:szCs w:val="20"/>
        </w:rPr>
        <w:t xml:space="preserve">Phase 2/3 experience: Phase 3 study leadership is weighted heavily. Phase 1 or purely preclinical backgrounds will not be competitive.</w:t>
      </w:r>
    </w:p>
    <w:p>
      <w:pPr>
        <w:pStyle w:val="ListParagraph"/>
        <w:numPr>
          <w:ilvl w:val="0"/>
          <w:numId w:val="2"/>
        </w:numPr>
        <w:spacing w:before="40" w:after="40"/>
      </w:pPr>
      <w:r>
        <w:rPr>
          <w:rFonts w:ascii="Arial" w:cs="Arial" w:eastAsia="Arial" w:hAnsi="Arial"/>
          <w:sz w:val="20"/>
          <w:szCs w:val="20"/>
        </w:rPr>
        <w:t xml:space="preserve">Collaborative, detail-oriented leadership: Candidates must be willing to support ad hoc analyses, work in the weeds, and operate as genuine teammates — not just strategic advisors.</w:t>
      </w:r>
    </w:p>
    <w:p>
      <w:pPr>
        <w:pStyle w:val="ListParagraph"/>
        <w:numPr>
          <w:ilvl w:val="0"/>
          <w:numId w:val="2"/>
        </w:numPr>
        <w:spacing w:before="40" w:after="40"/>
      </w:pPr>
      <w:r>
        <w:rPr>
          <w:rFonts w:ascii="Arial" w:cs="Arial" w:eastAsia="Arial" w:hAnsi="Arial"/>
          <w:sz w:val="20"/>
          <w:szCs w:val="20"/>
        </w:rPr>
        <w:t xml:space="preserve">Broad therapeutic exposure: Apogee explicitly prefers candidates with balanced TA backgrounds. They have cautioned against profiles that are exclusively Oncology or exclusively Rare Disease.</w:t>
      </w:r>
    </w:p>
    <w:p>
      <w:pPr>
        <w:spacing w:before="60" w:after="60"/>
      </w:pPr>
      <w:r>
        <w:t xml:space="preserve"/>
      </w:r>
    </w:p>
    <w:p>
      <w:pPr>
        <w:pStyle w:val="Heading1"/>
        <w:pBdr>
          <w:bottom w:val="single" w:color="2E75B6" w:sz="6" w:space="1"/>
        </w:pBdr>
        <w:spacing w:before="300" w:after="120"/>
      </w:pPr>
      <w:r>
        <w:rPr>
          <w:rFonts w:ascii="Arial" w:cs="Arial" w:eastAsia="Arial" w:hAnsi="Arial"/>
          <w:b/>
          <w:bCs/>
          <w:color w:val="1F4E79"/>
          <w:sz w:val="30"/>
          <w:szCs w:val="30"/>
        </w:rPr>
        <w:t xml:space="preserve">2. Candidate Fit Summary</w:t>
      </w:r>
    </w:p>
    <w:p>
      <w:pPr>
        <w:pStyle w:val="Heading2"/>
        <w:spacing w:before="240" w:after="80"/>
      </w:pPr>
      <w:r>
        <w:rPr>
          <w:rFonts w:ascii="Arial" w:cs="Arial" w:eastAsia="Arial" w:hAnsi="Arial"/>
          <w:b/>
          <w:bCs/>
          <w:color w:val="2E75B6"/>
          <w:sz w:val="24"/>
          <w:szCs w:val="24"/>
        </w:rPr>
        <w:t xml:space="preserve">Your Strongest Assets for This Role</w:t>
      </w:r>
    </w:p>
    <w:p>
      <w:pPr>
        <w:pStyle w:val="ListParagraph"/>
        <w:numPr>
          <w:ilvl w:val="0"/>
          <w:numId w:val="2"/>
        </w:numPr>
        <w:spacing w:before="40" w:after="40"/>
      </w:pPr>
      <w:r>
        <w:rPr>
          <w:rFonts w:ascii="Arial" w:cs="Arial" w:eastAsia="Arial" w:hAnsi="Arial"/>
          <w:sz w:val="20"/>
          <w:szCs w:val="20"/>
        </w:rPr>
        <w:t xml:space="preserve">PhD in Biostatistics (Emory): Meets the preferred credential — and brings over 14 years of progressive experience in exactly the domains Apogee cares about.</w:t>
      </w:r>
    </w:p>
    <w:p>
      <w:pPr>
        <w:pStyle w:val="ListParagraph"/>
        <w:numPr>
          <w:ilvl w:val="0"/>
          <w:numId w:val="2"/>
        </w:numPr>
        <w:spacing w:before="40" w:after="40"/>
      </w:pPr>
      <w:r>
        <w:rPr>
          <w:rFonts w:ascii="Arial" w:cs="Arial" w:eastAsia="Arial" w:hAnsi="Arial"/>
          <w:sz w:val="20"/>
          <w:szCs w:val="20"/>
        </w:rPr>
        <w:t xml:space="preserve">Phase 3 leadership at GSK: You were the statistical lead on the pivotal Phase 3 RSV maternal vaccine study — from TLF shell development through final efficacy deliverables and FDA/EMA interactions. This is a direct match for what Apogee needs.</w:t>
      </w:r>
    </w:p>
    <w:p>
      <w:pPr>
        <w:pStyle w:val="ListParagraph"/>
        <w:numPr>
          <w:ilvl w:val="0"/>
          <w:numId w:val="2"/>
        </w:numPr>
        <w:spacing w:before="40" w:after="40"/>
      </w:pPr>
      <w:r>
        <w:rPr>
          <w:rFonts w:ascii="Arial" w:cs="Arial" w:eastAsia="Arial" w:hAnsi="Arial"/>
          <w:sz w:val="20"/>
          <w:szCs w:val="20"/>
        </w:rPr>
        <w:t xml:space="preserve">Immunology and allergy breadth: Six years at the Immune Tolerance Network (MGH) working on autoimmune, allergy, and immunotherapy trials maps directly onto Apogee's I&amp;I therapeutic focus. This is your strongest alignment point.</w:t>
      </w:r>
    </w:p>
    <w:p>
      <w:pPr>
        <w:pStyle w:val="ListParagraph"/>
        <w:numPr>
          <w:ilvl w:val="0"/>
          <w:numId w:val="2"/>
        </w:numPr>
        <w:spacing w:before="40" w:after="40"/>
      </w:pPr>
      <w:r>
        <w:rPr>
          <w:rFonts w:ascii="Arial" w:cs="Arial" w:eastAsia="Arial" w:hAnsi="Arial"/>
          <w:sz w:val="20"/>
          <w:szCs w:val="20"/>
        </w:rPr>
        <w:t xml:space="preserve">Regulatory fluency from both sides: You reviewed INDs and BLAs at FDA/CBER as a Mathematical Statistician. Very few AD-level candidates can speak authentically to what reviewers are looking for — lean into this.</w:t>
      </w:r>
    </w:p>
    <w:p>
      <w:pPr>
        <w:pStyle w:val="ListParagraph"/>
        <w:numPr>
          <w:ilvl w:val="0"/>
          <w:numId w:val="2"/>
        </w:numPr>
        <w:spacing w:before="40" w:after="40"/>
      </w:pPr>
      <w:r>
        <w:rPr>
          <w:rFonts w:ascii="Arial" w:cs="Arial" w:eastAsia="Arial" w:hAnsi="Arial"/>
          <w:sz w:val="20"/>
          <w:szCs w:val="20"/>
        </w:rPr>
        <w:t xml:space="preserve">Advanced methodology: BOIN dose-finding, Bayesian analysis, 3ODM frameworks, simulation, QDM, estimands — you operate at the frontier of statistical methodology in drug development.</w:t>
      </w:r>
    </w:p>
    <w:p>
      <w:pPr>
        <w:pStyle w:val="ListParagraph"/>
        <w:numPr>
          <w:ilvl w:val="0"/>
          <w:numId w:val="2"/>
        </w:numPr>
        <w:spacing w:before="40" w:after="40"/>
      </w:pPr>
      <w:r>
        <w:rPr>
          <w:rFonts w:ascii="Arial" w:cs="Arial" w:eastAsia="Arial" w:hAnsi="Arial"/>
          <w:sz w:val="20"/>
          <w:szCs w:val="20"/>
        </w:rPr>
        <w:t xml:space="preserve">CRO oversight: Direct experience managing vendor timelines, TLF deliveries, and QC at both Moderna and GSK. This is a stated requirement.</w:t>
      </w:r>
    </w:p>
    <w:p>
      <w:pPr>
        <w:pStyle w:val="ListParagraph"/>
        <w:numPr>
          <w:ilvl w:val="0"/>
          <w:numId w:val="2"/>
        </w:numPr>
        <w:spacing w:before="40" w:after="40"/>
      </w:pPr>
      <w:r>
        <w:rPr>
          <w:rFonts w:ascii="Arial" w:cs="Arial" w:eastAsia="Arial" w:hAnsi="Arial"/>
          <w:sz w:val="20"/>
          <w:szCs w:val="20"/>
        </w:rPr>
        <w:t xml:space="preserve">Publications in high-impact journals: The Lancet and JAMA co-authorships are a meaningful differentiator — it signals scientific credibility and communication rigor.</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Areas to Prepare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Rare Disease Framing</w:t>
            </w:r>
          </w:p>
        </w:tc>
        <w:tc>
          <w:tcPr>
            <w:tcW w:type="dxa" w:w="7960"/>
            <w:tcBorders>
              <w:top w:val="none" w:color="FFFFFF" w:sz="0"/>
              <w:left w:val="none" w:color="FFFFFF" w:sz="0"/>
              <w:bottom w:val="none" w:color="FFFFFF" w:sz="0"/>
              <w:right w:val="none" w:color="FFFFFF" w:sz="0"/>
            </w:tcBorders>
            <w:shd w:fill="D6E4F0" w:val="clear"/>
            <w:tcMar>
              <w:top w:type="dxa" w:w="100"/>
              <w:left w:type="dxa" w:w="150"/>
              <w:bottom w:type="dxa" w:w="100"/>
              <w:right w:type="dxa" w:w="120"/>
            </w:tcMar>
          </w:tcPr>
          <w:p>
            <w:r>
              <w:rPr>
                <w:rFonts w:ascii="Arial" w:cs="Arial" w:eastAsia="Arial" w:hAnsi="Arial"/>
                <w:sz w:val="20"/>
                <w:szCs w:val="20"/>
              </w:rPr>
              <w:t xml:space="preserve">Your most recent role at Moderna was in a rare disease program. Apogee has explicitly flagged pure rare disease experience as a mismatch. You need to reframe this correctly: your rare disease work was one chapter of a broader I&amp;I and vaccine career, not your primary identity. Lead with GSK and ITN.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Recency of Phase 3 Work</w:t>
            </w:r>
          </w:p>
        </w:tc>
        <w:tc>
          <w:tcPr>
            <w:tcW w:type="dxa" w:w="7960"/>
            <w:tcBorders>
              <w:top w:val="none" w:color="FFFFFF" w:sz="0"/>
              <w:left w:val="none" w:color="FFFFFF" w:sz="0"/>
              <w:bottom w:val="none" w:color="FFFFFF" w:sz="0"/>
              <w:right w:val="none" w:color="FFFFFF" w:sz="0"/>
            </w:tcBorders>
            <w:shd w:fill="D6E4F0" w:val="clear"/>
            <w:tcMar>
              <w:top w:type="dxa" w:w="100"/>
              <w:left w:type="dxa" w:w="150"/>
              <w:bottom w:type="dxa" w:w="100"/>
              <w:right w:type="dxa" w:w="120"/>
            </w:tcMar>
          </w:tcPr>
          <w:p>
            <w:r>
              <w:rPr>
                <w:rFonts w:ascii="Arial" w:cs="Arial" w:eastAsia="Arial" w:hAnsi="Arial"/>
                <w:sz w:val="20"/>
                <w:szCs w:val="20"/>
              </w:rPr>
              <w:t xml:space="preserve">Your Phase 3 depth lives at GSK (2021–2024), and your Moderna role was Phase 1. Be prepared to speak specifically and confidently about your RSV Phase 3 work. Have specific TFL examples, sample size rationale, regulatory submission contributions, and FDA/EMA interaction stories ready.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Layoff Context</w:t>
            </w:r>
          </w:p>
        </w:tc>
        <w:tc>
          <w:tcPr>
            <w:tcW w:type="dxa" w:w="7960"/>
            <w:tcBorders>
              <w:top w:val="none" w:color="FFFFFF" w:sz="0"/>
              <w:left w:val="none" w:color="FFFFFF" w:sz="0"/>
              <w:bottom w:val="none" w:color="FFFFFF" w:sz="0"/>
              <w:right w:val="none" w:color="FFFFFF" w:sz="0"/>
            </w:tcBorders>
            <w:shd w:fill="D6E4F0" w:val="clear"/>
            <w:tcMar>
              <w:top w:type="dxa" w:w="100"/>
              <w:left w:type="dxa" w:w="150"/>
              <w:bottom w:type="dxa" w:w="100"/>
              <w:right w:type="dxa" w:w="120"/>
            </w:tcMar>
          </w:tcPr>
          <w:p>
            <w:r>
              <w:rPr>
                <w:rFonts w:ascii="Arial" w:cs="Arial" w:eastAsia="Arial" w:hAnsi="Arial"/>
                <w:sz w:val="20"/>
                <w:szCs w:val="20"/>
              </w:rPr>
              <w:t xml:space="preserve">You were part of the Moderna February 2026 reduction in force. You do not need to over-explain this — it is well-known that Moderna conducted significant layoffs and it reflects the market, not your performance. Frame it neutrally: 'Moderna made significant organizational changes in early 2026 as part of a broader restructuring. I'm now focused on finding the right next role where I can drive Phase 3 execution in an I&amp;I program — which is exactly what drew me to Apogee.'</w:t>
            </w:r>
          </w:p>
        </w:tc>
      </w:tr>
    </w:tbl>
    <w:p>
      <w:pPr>
        <w:spacing w:before="60" w:after="60"/>
      </w:pPr>
      <w:r>
        <w:t xml:space="preserve"/>
      </w:r>
    </w:p>
    <w:p>
      <w:pPr>
        <w:pStyle w:val="Heading2"/>
        <w:spacing w:before="240" w:after="80"/>
      </w:pPr>
      <w:r>
        <w:rPr>
          <w:rFonts w:ascii="Arial" w:cs="Arial" w:eastAsia="Arial" w:hAnsi="Arial"/>
          <w:b/>
          <w:bCs/>
          <w:color w:val="2E75B6"/>
          <w:sz w:val="24"/>
          <w:szCs w:val="24"/>
        </w:rPr>
        <w:t xml:space="preserve">How to Position Your Background</w:t>
      </w:r>
    </w:p>
    <w:p>
      <w:pPr>
        <w:spacing w:before="60" w:after="60"/>
      </w:pPr>
      <w:r>
        <w:rPr>
          <w:rFonts w:ascii="Arial" w:cs="Arial" w:eastAsia="Arial" w:hAnsi="Arial"/>
          <w:sz w:val="20"/>
          <w:szCs w:val="20"/>
        </w:rPr>
        <w:t xml:space="preserve">Your narrative arc should be:</w:t>
      </w:r>
    </w:p>
    <w:p>
      <w:pPr>
        <w:pStyle w:val="ListParagraph"/>
        <w:numPr>
          <w:ilvl w:val="0"/>
          <w:numId w:val="2"/>
        </w:numPr>
        <w:spacing w:before="40" w:after="40"/>
      </w:pPr>
      <w:r>
        <w:rPr>
          <w:rFonts w:ascii="Arial" w:cs="Arial" w:eastAsia="Arial" w:hAnsi="Arial"/>
          <w:sz w:val="20"/>
          <w:szCs w:val="20"/>
        </w:rPr>
        <w:t xml:space="preserve">Early career regulatory foundation at FDA/CBER — you understand what reviewers need before a single line of analysis is written.</w:t>
      </w:r>
    </w:p>
    <w:p>
      <w:pPr>
        <w:pStyle w:val="ListParagraph"/>
        <w:numPr>
          <w:ilvl w:val="0"/>
          <w:numId w:val="2"/>
        </w:numPr>
        <w:spacing w:before="40" w:after="40"/>
      </w:pPr>
      <w:r>
        <w:rPr>
          <w:rFonts w:ascii="Arial" w:cs="Arial" w:eastAsia="Arial" w:hAnsi="Arial"/>
          <w:sz w:val="20"/>
          <w:szCs w:val="20"/>
        </w:rPr>
        <w:t xml:space="preserve">Six years of deep I&amp;I science at ITN — autoimmune, allergy, and immunotherapy trials across diverse modalities. This is where your therapeutic expertise lives.</w:t>
      </w:r>
    </w:p>
    <w:p>
      <w:pPr>
        <w:pStyle w:val="ListParagraph"/>
        <w:numPr>
          <w:ilvl w:val="0"/>
          <w:numId w:val="2"/>
        </w:numPr>
        <w:spacing w:before="40" w:after="40"/>
      </w:pPr>
      <w:r>
        <w:rPr>
          <w:rFonts w:ascii="Arial" w:cs="Arial" w:eastAsia="Arial" w:hAnsi="Arial"/>
          <w:sz w:val="20"/>
          <w:szCs w:val="20"/>
        </w:rPr>
        <w:t xml:space="preserve">Pivotal Phase 3 execution at GSK — statistical lead on a regulatory-track RSV program with direct FDA and EMA touchpoints.</w:t>
      </w:r>
    </w:p>
    <w:p>
      <w:pPr>
        <w:pStyle w:val="ListParagraph"/>
        <w:numPr>
          <w:ilvl w:val="0"/>
          <w:numId w:val="2"/>
        </w:numPr>
        <w:spacing w:before="40" w:after="40"/>
      </w:pPr>
      <w:r>
        <w:rPr>
          <w:rFonts w:ascii="Arial" w:cs="Arial" w:eastAsia="Arial" w:hAnsi="Arial"/>
          <w:sz w:val="20"/>
          <w:szCs w:val="20"/>
        </w:rPr>
        <w:t xml:space="preserve">Statistical leadership and innovation at Moderna — advancing Bayesian methodology in a challenging rare disease setting before the company restructured.</w:t>
      </w:r>
    </w:p>
    <w:p>
      <w:pPr>
        <w:spacing w:before="60" w:after="60"/>
      </w:pPr>
      <w:r>
        <w:rPr>
          <w:rFonts w:ascii="Arial" w:cs="Arial" w:eastAsia="Arial" w:hAnsi="Arial"/>
          <w:sz w:val="20"/>
          <w:szCs w:val="20"/>
        </w:rPr>
        <w:t xml:space="preserve">Together, this arc reads as a balanced, progression-driven statistician with broad TA exposure, deep I&amp;I roots, and proven Phase 3 regulatory execution — which is exactly the candidate Apogee is trying to find.</w:t>
      </w:r>
    </w:p>
    <w:p>
      <w:pPr>
        <w:spacing w:before="60" w:after="60"/>
      </w:pPr>
      <w:r>
        <w:t xml:space="preserve"/>
      </w:r>
    </w:p>
    <w:p>
      <w:pPr>
        <w:pStyle w:val="Heading1"/>
        <w:pBdr>
          <w:bottom w:val="single" w:color="2E75B6" w:sz="6" w:space="1"/>
        </w:pBdr>
        <w:spacing w:before="300" w:after="120"/>
      </w:pPr>
      <w:r>
        <w:rPr>
          <w:rFonts w:ascii="Arial" w:cs="Arial" w:eastAsia="Arial" w:hAnsi="Arial"/>
          <w:b/>
          <w:bCs/>
          <w:color w:val="1F4E79"/>
          <w:sz w:val="30"/>
          <w:szCs w:val="30"/>
        </w:rPr>
        <w:t xml:space="preserve">3. HR / Initial Screening Prep</w:t>
      </w:r>
    </w:p>
    <w:p>
      <w:pPr>
        <w:spacing w:before="60" w:after="60"/>
      </w:pPr>
      <w:r>
        <w:rPr>
          <w:rFonts w:ascii="Arial" w:cs="Arial" w:eastAsia="Arial" w:hAnsi="Arial"/>
          <w:sz w:val="20"/>
          <w:szCs w:val="20"/>
        </w:rPr>
        <w:t xml:space="preserve">Apogee's first screen will likely come through their internal talent team before connecting with Richard Willey or Cindy Wu. This call sets the tone. Be warm, concise, and calibrated — do not over-explain.</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Common Questions to Expect</w:t>
      </w:r>
    </w:p>
    <w:p>
      <w:pPr>
        <w:spacing w:before="160" w:after="60"/>
      </w:pPr>
      <w:r>
        <w:rPr>
          <w:rFonts w:ascii="Arial" w:cs="Arial" w:eastAsia="Arial" w:hAnsi="Arial"/>
          <w:b/>
          <w:bCs/>
          <w:color w:val="333333"/>
          <w:sz w:val="22"/>
          <w:szCs w:val="22"/>
        </w:rPr>
        <w:t xml:space="preserve">"Walk me through your background."</w:t>
      </w:r>
    </w:p>
    <w:p>
      <w:pPr>
        <w:spacing w:before="60" w:after="60"/>
      </w:pPr>
      <w:r>
        <w:rPr>
          <w:rFonts w:ascii="Arial" w:cs="Arial" w:eastAsia="Arial" w:hAnsi="Arial"/>
          <w:sz w:val="20"/>
          <w:szCs w:val="20"/>
        </w:rPr>
        <w:t xml:space="preserve">Keep this to 2–3 minutes. Hit the arc above: FDA → ITN → GSK → Moderna. Emphasize the GSK Phase 3 work and your I&amp;I therapeutic grounding. Close by expressing genuine interest in Apogee's pipeline and what's at stake for patients with atopic dermatitis and asthma.</w:t>
      </w:r>
    </w:p>
    <w:p>
      <w:pPr>
        <w:spacing w:before="60" w:after="60"/>
      </w:pPr>
      <w:r>
        <w:t xml:space="preserve"/>
      </w:r>
    </w:p>
    <w:p>
      <w:pPr>
        <w:spacing w:before="160" w:after="60"/>
      </w:pPr>
      <w:r>
        <w:rPr>
          <w:rFonts w:ascii="Arial" w:cs="Arial" w:eastAsia="Arial" w:hAnsi="Arial"/>
          <w:b/>
          <w:bCs/>
          <w:color w:val="333333"/>
          <w:sz w:val="22"/>
          <w:szCs w:val="22"/>
        </w:rPr>
        <w:t xml:space="preserve">"Why are you exploring new opportunities?"</w:t>
      </w:r>
    </w:p>
    <w:p>
      <w:pPr>
        <w:spacing w:before="60" w:after="60"/>
      </w:pPr>
      <w:r>
        <w:rPr>
          <w:rFonts w:ascii="Arial" w:cs="Arial" w:eastAsia="Arial" w:hAnsi="Arial"/>
          <w:sz w:val="20"/>
          <w:szCs w:val="20"/>
        </w:rPr>
        <w:t xml:space="preserve">Be direct and brief: "I was part of Moderna's February 2026 reduction in force — a broad organizational restructuring the company went through. I came away with strong Phase 3 and regulatory submission experience, and I'm now looking for a biotech at the right stage where I can help drive that kind of work. Apogee's pipeline and the timing of where you are in development is genuinely exciting to me."</w:t>
      </w:r>
    </w:p>
    <w:p>
      <w:pPr>
        <w:spacing w:before="60" w:after="60"/>
      </w:pPr>
      <w:r>
        <w:t xml:space="preserve"/>
      </w:r>
    </w:p>
    <w:p>
      <w:pPr>
        <w:spacing w:before="160" w:after="60"/>
      </w:pPr>
      <w:r>
        <w:rPr>
          <w:rFonts w:ascii="Arial" w:cs="Arial" w:eastAsia="Arial" w:hAnsi="Arial"/>
          <w:b/>
          <w:bCs/>
          <w:color w:val="333333"/>
          <w:sz w:val="22"/>
          <w:szCs w:val="22"/>
        </w:rPr>
        <w:t xml:space="preserve">"What are your compensation expectations?"</w:t>
      </w:r>
    </w:p>
    <w:p>
      <w:pPr>
        <w:spacing w:before="60" w:after="60"/>
      </w:pPr>
      <w:r>
        <w:rPr>
          <w:rFonts w:ascii="Arial" w:cs="Arial" w:eastAsia="Arial" w:hAnsi="Arial"/>
          <w:sz w:val="20"/>
          <w:szCs w:val="20"/>
        </w:rPr>
        <w:t xml:space="preserve">You are operating near the midpoint of the published range ($195K–$215K), which reflects your AD-level credentials and experience. If asked directly: "I'm targeting the midpoint of your published range, which aligns with my experience level. I'm much more focused on the opportunity itself — I'm excited about what Apogee is building." Do not anchor to a specific number unprompted.</w:t>
      </w:r>
    </w:p>
    <w:p>
      <w:pPr>
        <w:spacing w:before="60" w:after="60"/>
      </w:pPr>
      <w:r>
        <w:t xml:space="preserve"/>
      </w:r>
    </w:p>
    <w:p>
      <w:pPr>
        <w:spacing w:before="160" w:after="60"/>
      </w:pPr>
      <w:r>
        <w:rPr>
          <w:rFonts w:ascii="Arial" w:cs="Arial" w:eastAsia="Arial" w:hAnsi="Arial"/>
          <w:b/>
          <w:bCs/>
          <w:color w:val="333333"/>
          <w:sz w:val="22"/>
          <w:szCs w:val="22"/>
        </w:rPr>
        <w:t xml:space="preserve">"Are you comfortable with a fully remote setup?"</w:t>
      </w:r>
    </w:p>
    <w:p>
      <w:pPr>
        <w:spacing w:before="60" w:after="60"/>
      </w:pPr>
      <w:r>
        <w:rPr>
          <w:rFonts w:ascii="Arial" w:cs="Arial" w:eastAsia="Arial" w:hAnsi="Arial"/>
          <w:sz w:val="20"/>
          <w:szCs w:val="20"/>
        </w:rPr>
        <w:t xml:space="preserve">Yes — you are currently in Maryland and have operated in remote/virtual environments at both Moderna and GSK. Reference your comfort with distributed team collaboration and your track record of CRO oversight in that context.</w:t>
      </w:r>
    </w:p>
    <w:p>
      <w:pPr>
        <w:spacing w:before="60" w:after="60"/>
      </w:pPr>
      <w:r>
        <w:t xml:space="preserve"/>
      </w:r>
    </w:p>
    <w:p>
      <w:pPr>
        <w:spacing w:before="160" w:after="60"/>
      </w:pPr>
      <w:r>
        <w:rPr>
          <w:rFonts w:ascii="Arial" w:cs="Arial" w:eastAsia="Arial" w:hAnsi="Arial"/>
          <w:b/>
          <w:bCs/>
          <w:color w:val="333333"/>
          <w:sz w:val="22"/>
          <w:szCs w:val="22"/>
        </w:rPr>
        <w:t xml:space="preserve">"What draws you specifically to Apogee?"</w:t>
      </w:r>
    </w:p>
    <w:p>
      <w:pPr>
        <w:spacing w:before="60" w:after="60"/>
      </w:pPr>
      <w:r>
        <w:rPr>
          <w:rFonts w:ascii="Arial" w:cs="Arial" w:eastAsia="Arial" w:hAnsi="Arial"/>
          <w:sz w:val="20"/>
          <w:szCs w:val="20"/>
        </w:rPr>
        <w:t xml:space="preserve">Do your research before this call. Specific things to mention: the zumilokibart AD/asthma program and its positioning vs. existing biologics, Apogee's antibody engineering approach to half-life optimization, the company's growth trajectory from 2022 to now, and the fact that the biometrics team is actively building internal capacity. "I spent six years at ITN working in allergy and autoimmune — I'm scientifically invested in this therapeutic space, and Apogee's program looks genuinely differentiated."</w:t>
      </w:r>
    </w:p>
    <w:p>
      <w:pPr>
        <w:spacing w:before="60" w:after="60"/>
      </w:pPr>
      <w:r>
        <w:t xml:space="preserve"/>
      </w:r>
    </w:p>
    <w:p>
      <w:pPr>
        <w:pStyle w:val="Heading1"/>
        <w:pBdr>
          <w:bottom w:val="single" w:color="2E75B6" w:sz="6" w:space="1"/>
        </w:pBdr>
        <w:spacing w:before="300" w:after="120"/>
      </w:pPr>
      <w:r>
        <w:rPr>
          <w:rFonts w:ascii="Arial" w:cs="Arial" w:eastAsia="Arial" w:hAnsi="Arial"/>
          <w:b/>
          <w:bCs/>
          <w:color w:val="1F4E79"/>
          <w:sz w:val="30"/>
          <w:szCs w:val="30"/>
        </w:rPr>
        <w:t xml:space="preserve">4. Hiring Manager Interview Prep</w:t>
      </w:r>
    </w:p>
    <w:p>
      <w:pPr>
        <w:spacing w:before="60" w:after="60"/>
      </w:pPr>
      <w:r>
        <w:rPr>
          <w:rFonts w:ascii="Arial" w:cs="Arial" w:eastAsia="Arial" w:hAnsi="Arial"/>
          <w:sz w:val="20"/>
          <w:szCs w:val="20"/>
        </w:rPr>
        <w:t xml:space="preserve">You will meet with Richard Willey and likely Cindy Wu. Based on what I know about this team, expect a substantive, technically-grounded conversation. They have interviewed multiple candidates who looked strong on paper but did not perform well — so demonstrating executive presence and clear communication will matter as much as technical depth.</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Likely Areas of Deep Dive</w:t>
      </w:r>
    </w:p>
    <w:p>
      <w:pPr>
        <w:pStyle w:val="ListParagraph"/>
        <w:numPr>
          <w:ilvl w:val="0"/>
          <w:numId w:val="2"/>
        </w:numPr>
        <w:spacing w:before="40" w:after="40"/>
      </w:pPr>
      <w:r>
        <w:rPr>
          <w:rFonts w:ascii="Arial" w:cs="Arial" w:eastAsia="Arial" w:hAnsi="Arial"/>
          <w:sz w:val="20"/>
          <w:szCs w:val="20"/>
        </w:rPr>
        <w:t xml:space="preserve">Your Phase 3 experience — specifically how you led statistical strategy from protocol through regulatory submission</w:t>
      </w:r>
    </w:p>
    <w:p>
      <w:pPr>
        <w:pStyle w:val="ListParagraph"/>
        <w:numPr>
          <w:ilvl w:val="0"/>
          <w:numId w:val="2"/>
        </w:numPr>
        <w:spacing w:before="40" w:after="40"/>
      </w:pPr>
      <w:r>
        <w:rPr>
          <w:rFonts w:ascii="Arial" w:cs="Arial" w:eastAsia="Arial" w:hAnsi="Arial"/>
          <w:sz w:val="20"/>
          <w:szCs w:val="20"/>
        </w:rPr>
        <w:t xml:space="preserve">How you manage CRO and vendor relationships — including what good looks like and how you handle when it goes wrong</w:t>
      </w:r>
    </w:p>
    <w:p>
      <w:pPr>
        <w:pStyle w:val="ListParagraph"/>
        <w:numPr>
          <w:ilvl w:val="0"/>
          <w:numId w:val="2"/>
        </w:numPr>
        <w:spacing w:before="40" w:after="40"/>
      </w:pPr>
      <w:r>
        <w:rPr>
          <w:rFonts w:ascii="Arial" w:cs="Arial" w:eastAsia="Arial" w:hAnsi="Arial"/>
          <w:sz w:val="20"/>
          <w:szCs w:val="20"/>
        </w:rPr>
        <w:t xml:space="preserve">Your approach to explaining statistical concepts to non-statistician partners (PMs, medical, regulatory)</w:t>
      </w:r>
    </w:p>
    <w:p>
      <w:pPr>
        <w:pStyle w:val="ListParagraph"/>
        <w:numPr>
          <w:ilvl w:val="0"/>
          <w:numId w:val="2"/>
        </w:numPr>
        <w:spacing w:before="40" w:after="40"/>
      </w:pPr>
      <w:r>
        <w:rPr>
          <w:rFonts w:ascii="Arial" w:cs="Arial" w:eastAsia="Arial" w:hAnsi="Arial"/>
          <w:sz w:val="20"/>
          <w:szCs w:val="20"/>
        </w:rPr>
        <w:t xml:space="preserve">Specific methodology questions: estimands, missing data imputation, adaptive design, Bayesian approaches</w:t>
      </w:r>
    </w:p>
    <w:p>
      <w:pPr>
        <w:pStyle w:val="ListParagraph"/>
        <w:numPr>
          <w:ilvl w:val="0"/>
          <w:numId w:val="2"/>
        </w:numPr>
        <w:spacing w:before="40" w:after="40"/>
      </w:pPr>
      <w:r>
        <w:rPr>
          <w:rFonts w:ascii="Arial" w:cs="Arial" w:eastAsia="Arial" w:hAnsi="Arial"/>
          <w:sz w:val="20"/>
          <w:szCs w:val="20"/>
        </w:rPr>
        <w:t xml:space="preserve">How you handle ambiguity and changing priorities in a fast-moving environment</w:t>
      </w:r>
    </w:p>
    <w:p>
      <w:pPr>
        <w:pStyle w:val="ListParagraph"/>
        <w:numPr>
          <w:ilvl w:val="0"/>
          <w:numId w:val="2"/>
        </w:numPr>
        <w:spacing w:before="40" w:after="40"/>
      </w:pPr>
      <w:r>
        <w:rPr>
          <w:rFonts w:ascii="Arial" w:cs="Arial" w:eastAsia="Arial" w:hAnsi="Arial"/>
          <w:sz w:val="20"/>
          <w:szCs w:val="20"/>
        </w:rPr>
        <w:t xml:space="preserve">Your experience with I&amp;I therapeutic areas and how you think about trial design in those settings</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Behavioral Questions — STAR Format</w:t>
      </w:r>
    </w:p>
    <w:p>
      <w:pPr>
        <w:spacing w:before="160" w:after="60"/>
      </w:pPr>
      <w:r>
        <w:rPr>
          <w:rFonts w:ascii="Arial" w:cs="Arial" w:eastAsia="Arial" w:hAnsi="Arial"/>
          <w:b/>
          <w:bCs/>
          <w:color w:val="333333"/>
          <w:sz w:val="22"/>
          <w:szCs w:val="22"/>
        </w:rPr>
        <w:t xml:space="preserve">Q1: Tell me about a time you were the statistical lead on a pivotal Phase 3 program. How did you approach the statistical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S – Situation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At GSK, I was the statistical lead on the pivotal Phase 3 RSV maternal vaccine study — a global, placebo-controlled efficacy trial with regulatory tracks in both the FDA and EMA.</w:t>
            </w:r>
          </w:p>
        </w:tc>
      </w:tr>
      <w:tr>
        <w:tc>
          <w:tcPr>
            <w:tcW w:type="dxa" w:w="12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T – Task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was responsible for the full statistical strategy: developing TLF shells, authoring the SAP, managing the SAS programming deliverables, and ensuring the primary efficacy analyses were audit-ready.</w:t>
            </w:r>
          </w:p>
        </w:tc>
      </w:tr>
      <w:tr>
        <w:tc>
          <w:tcPr>
            <w:tcW w:type="dxa" w:w="1200"/>
            <w:tcBorders>
              <w:top w:val="none" w:color="FFFFFF" w:sz="0"/>
              <w:left w:val="none" w:color="FFFFFF" w:sz="0"/>
              <w:bottom w:val="none" w:color="FFFFFF" w:sz="0"/>
              <w:right w:val="none" w:color="FFFFFF" w:sz="0"/>
            </w:tcBorders>
            <w:shd w:fill="AED6F1"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A – Action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built a detailed statistical analysis framework early that was aligned with both agencies, contributed to the FDA and EMA interactions, and collaborated closely with data management and programming on SDTM and ADaM specifications. I also led QDM and PoS simulations to inform internal development decisions.</w:t>
            </w:r>
          </w:p>
        </w:tc>
      </w:tr>
      <w:tr>
        <w:tc>
          <w:tcPr>
            <w:tcW w:type="dxa" w:w="1200"/>
            <w:tcBorders>
              <w:top w:val="none" w:color="FFFFFF" w:sz="0"/>
              <w:left w:val="none" w:color="FFFFFF" w:sz="0"/>
              <w:bottom w:val="none" w:color="FFFFFF" w:sz="0"/>
              <w:right w:val="none" w:color="FFFFFF" w:sz="0"/>
            </w:tcBorders>
            <w:shd w:fill="85C1E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R – Result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We delivered final efficacy TLFs on timeline and supported a successful regulatory submission. The RSV maternal program became one of GSK's key approved vaccines.</w:t>
            </w:r>
          </w:p>
        </w:tc>
      </w:tr>
    </w:tbl>
    <w:p>
      <w:pPr>
        <w:spacing w:before="60" w:after="60"/>
      </w:pPr>
      <w:r>
        <w:t xml:space="preserve"/>
      </w:r>
    </w:p>
    <w:p>
      <w:pPr>
        <w:spacing w:before="160" w:after="60"/>
      </w:pPr>
      <w:r>
        <w:rPr>
          <w:rFonts w:ascii="Arial" w:cs="Arial" w:eastAsia="Arial" w:hAnsi="Arial"/>
          <w:b/>
          <w:bCs/>
          <w:color w:val="333333"/>
          <w:sz w:val="22"/>
          <w:szCs w:val="22"/>
        </w:rPr>
        <w:t xml:space="preserve">Q2: Describe a situation where you had to explain a complex statistical concept or methodology to a non-statistics audience. How did you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S – Situation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At Moderna, I was implementing a BOIN dose-finding design for a Phase 1 rare disease program — a Bayesian methodology that most clinical colleagues hadn't encountered before.</w:t>
            </w:r>
          </w:p>
        </w:tc>
      </w:tr>
      <w:tr>
        <w:tc>
          <w:tcPr>
            <w:tcW w:type="dxa" w:w="12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T – Task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needed the clinical team, medical monitor, and program leadership to understand the BOIN decision rules clearly enough to make confident go/no-go decisions at each cohort.</w:t>
            </w:r>
          </w:p>
        </w:tc>
      </w:tr>
      <w:tr>
        <w:tc>
          <w:tcPr>
            <w:tcW w:type="dxa" w:w="1200"/>
            <w:tcBorders>
              <w:top w:val="none" w:color="FFFFFF" w:sz="0"/>
              <w:left w:val="none" w:color="FFFFFF" w:sz="0"/>
              <w:bottom w:val="none" w:color="FFFFFF" w:sz="0"/>
              <w:right w:val="none" w:color="FFFFFF" w:sz="0"/>
            </w:tcBorders>
            <w:shd w:fill="AED6F1"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A – Action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developed a simple visual simulation dashboard that showed decision boundaries under different toxicity scenarios — without a single equation in sight. I walked the team through 'what would we do if we saw 2 DLTs in 6 patients' with specific examples and connected it to patient safety logic they already understood.</w:t>
            </w:r>
          </w:p>
        </w:tc>
      </w:tr>
      <w:tr>
        <w:tc>
          <w:tcPr>
            <w:tcW w:type="dxa" w:w="1200"/>
            <w:tcBorders>
              <w:top w:val="none" w:color="FFFFFF" w:sz="0"/>
              <w:left w:val="none" w:color="FFFFFF" w:sz="0"/>
              <w:bottom w:val="none" w:color="FFFFFF" w:sz="0"/>
              <w:right w:val="none" w:color="FFFFFF" w:sz="0"/>
            </w:tcBorders>
            <w:shd w:fill="85C1E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R – Result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The team went into the first cohort review with confidence. The BOIN design was accepted by the SMC with no major statistical concerns. I got feedback from the CMO that it was the clearest dose-finding briefing they'd seen.</w:t>
            </w:r>
          </w:p>
        </w:tc>
      </w:tr>
    </w:tbl>
    <w:p>
      <w:pPr>
        <w:spacing w:before="60" w:after="60"/>
      </w:pPr>
      <w:r>
        <w:t xml:space="preserve"/>
      </w:r>
    </w:p>
    <w:p>
      <w:pPr>
        <w:spacing w:before="160" w:after="60"/>
      </w:pPr>
      <w:r>
        <w:rPr>
          <w:rFonts w:ascii="Arial" w:cs="Arial" w:eastAsia="Arial" w:hAnsi="Arial"/>
          <w:b/>
          <w:bCs/>
          <w:color w:val="333333"/>
          <w:sz w:val="22"/>
          <w:szCs w:val="22"/>
        </w:rPr>
        <w:t xml:space="preserve">Q3: Tell me about a time you had to manage a CRO relationship through a difficult deliverable or missed milestone. What did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S – Situation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At Moderna, a CRO I was managing had recurring delays in TLF deliveries for a rare disease program — slipping timelines on a pre-planned SMC review.</w:t>
            </w:r>
          </w:p>
        </w:tc>
      </w:tr>
      <w:tr>
        <w:tc>
          <w:tcPr>
            <w:tcW w:type="dxa" w:w="12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T – Task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needed to get deliverables back on track without damaging the relationship or escalating unnecessarily while we still needed the vendor to execute.</w:t>
            </w:r>
          </w:p>
        </w:tc>
      </w:tr>
      <w:tr>
        <w:tc>
          <w:tcPr>
            <w:tcW w:type="dxa" w:w="1200"/>
            <w:tcBorders>
              <w:top w:val="none" w:color="FFFFFF" w:sz="0"/>
              <w:left w:val="none" w:color="FFFFFF" w:sz="0"/>
              <w:bottom w:val="none" w:color="FFFFFF" w:sz="0"/>
              <w:right w:val="none" w:color="FFFFFF" w:sz="0"/>
            </w:tcBorders>
            <w:shd w:fill="AED6F1"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A – Action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requested a joint escalation call with the CRO's project lead and statistical director, walked through the specific gaps in quality and timeline against the agreed SOW, and worked with them to rebuild a realistic milestone schedule with weekly check-ins. I also restructured QC touchpoints so I caught issues earlier.</w:t>
            </w:r>
          </w:p>
        </w:tc>
      </w:tr>
      <w:tr>
        <w:tc>
          <w:tcPr>
            <w:tcW w:type="dxa" w:w="1200"/>
            <w:tcBorders>
              <w:top w:val="none" w:color="FFFFFF" w:sz="0"/>
              <w:left w:val="none" w:color="FFFFFF" w:sz="0"/>
              <w:bottom w:val="none" w:color="FFFFFF" w:sz="0"/>
              <w:right w:val="none" w:color="FFFFFF" w:sz="0"/>
            </w:tcBorders>
            <w:shd w:fill="85C1E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R – Result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We recovered the SMC timeline and completed the database lock without further delays. I built in a tighter review cadence for subsequent deliverables and documented the escalation path for future reference.</w:t>
            </w:r>
          </w:p>
        </w:tc>
      </w:tr>
    </w:tbl>
    <w:p>
      <w:pPr>
        <w:spacing w:before="60" w:after="60"/>
      </w:pPr>
      <w:r>
        <w:t xml:space="preserve"/>
      </w:r>
    </w:p>
    <w:p>
      <w:pPr>
        <w:spacing w:before="160" w:after="60"/>
      </w:pPr>
      <w:r>
        <w:rPr>
          <w:rFonts w:ascii="Arial" w:cs="Arial" w:eastAsia="Arial" w:hAnsi="Arial"/>
          <w:b/>
          <w:bCs/>
          <w:color w:val="333333"/>
          <w:sz w:val="22"/>
          <w:szCs w:val="22"/>
        </w:rPr>
        <w:t xml:space="preserve">Q4: Describe a time when you had to navigate ambiguity or a significant change in direction mid-study. How did you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BF5FB"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S – Situation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During my time at GSK, the CMV vaccine program underwent a strategic pivot mid-development, shifting prioritization and requiring a rapid recalibration of the statistical development plan.</w:t>
            </w:r>
          </w:p>
        </w:tc>
      </w:tr>
      <w:tr>
        <w:tc>
          <w:tcPr>
            <w:tcW w:type="dxa" w:w="12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T – Task</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needed to revisit sample size assumptions, revise the SAP scope, and re-engage agency interactions with revised statistical framing — all on a compressed timeline.</w:t>
            </w:r>
          </w:p>
        </w:tc>
      </w:tr>
      <w:tr>
        <w:tc>
          <w:tcPr>
            <w:tcW w:type="dxa" w:w="1200"/>
            <w:tcBorders>
              <w:top w:val="none" w:color="FFFFFF" w:sz="0"/>
              <w:left w:val="none" w:color="FFFFFF" w:sz="0"/>
              <w:bottom w:val="none" w:color="FFFFFF" w:sz="0"/>
              <w:right w:val="none" w:color="FFFFFF" w:sz="0"/>
            </w:tcBorders>
            <w:shd w:fill="AED6F1"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A – Action</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I immediately prioritized what statistical deliverables were committed vs. what could be deferred, ran new simulation scenarios to pressure-test the revised design, and drafted a summary of statistical implications for the Development Board. I stayed closely aligned with the clinical lead and regulatory team throughout.</w:t>
            </w:r>
          </w:p>
        </w:tc>
      </w:tr>
      <w:tr>
        <w:tc>
          <w:tcPr>
            <w:tcW w:type="dxa" w:w="1200"/>
            <w:tcBorders>
              <w:top w:val="none" w:color="FFFFFF" w:sz="0"/>
              <w:left w:val="none" w:color="FFFFFF" w:sz="0"/>
              <w:bottom w:val="none" w:color="FFFFFF" w:sz="0"/>
              <w:right w:val="none" w:color="FFFFFF" w:sz="0"/>
            </w:tcBorders>
            <w:shd w:fill="85C1E9" w:val="clear"/>
            <w:tcMar>
              <w:top w:type="dxa" w:w="80"/>
              <w:left w:type="dxa" w:w="120"/>
              <w:bottom w:type="dxa" w:w="80"/>
              <w:right w:type="dxa" w:w="120"/>
            </w:tcMar>
            <w:vAlign w:val="center"/>
          </w:tcPr>
          <w:p>
            <w:pPr>
              <w:jc w:val="center"/>
            </w:pPr>
            <w:r>
              <w:rPr>
                <w:rFonts w:ascii="Arial" w:cs="Arial" w:eastAsia="Arial" w:hAnsi="Arial"/>
                <w:b/>
                <w:bCs/>
                <w:color w:val="1A1A1A"/>
                <w:sz w:val="18"/>
                <w:szCs w:val="18"/>
              </w:rPr>
              <w:t xml:space="preserve">R – Result</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20"/>
            </w:tcMar>
          </w:tcPr>
          <w:p>
            <w:r>
              <w:rPr>
                <w:rFonts w:ascii="Arial" w:cs="Arial" w:eastAsia="Arial" w:hAnsi="Arial"/>
                <w:sz w:val="20"/>
                <w:szCs w:val="20"/>
              </w:rPr>
              <w:t xml:space="preserve">The revised program was approved internally with statistical input incorporated into the briefing document. The experience taught me to build flexible statistical frameworks early that can absorb changes in direction.</w:t>
            </w:r>
          </w:p>
        </w:tc>
      </w:tr>
    </w:tbl>
    <w:p>
      <w:pPr>
        <w:spacing w:before="60" w:after="60"/>
      </w:pPr>
      <w:r>
        <w:t xml:space="preserve"/>
      </w:r>
    </w:p>
    <w:p>
      <w:pPr>
        <w:spacing w:before="160" w:after="60"/>
      </w:pPr>
      <w:r>
        <w:rPr>
          <w:rFonts w:ascii="Arial" w:cs="Arial" w:eastAsia="Arial" w:hAnsi="Arial"/>
          <w:b/>
          <w:bCs/>
          <w:color w:val="333333"/>
          <w:sz w:val="22"/>
          <w:szCs w:val="22"/>
        </w:rPr>
        <w:t xml:space="preserve">Q5: How do you approach SAP development? Walk me through your process from protocol to lock.</w:t>
      </w:r>
    </w:p>
    <w:p>
      <w:pPr>
        <w:spacing w:before="60" w:after="60"/>
      </w:pPr>
      <w:r>
        <w:rPr>
          <w:rFonts w:ascii="Arial" w:cs="Arial" w:eastAsia="Arial" w:hAnsi="Arial"/>
          <w:sz w:val="20"/>
          <w:szCs w:val="20"/>
        </w:rPr>
        <w:t xml:space="preserve">This is a process question — answer it confidently and specifically. Your process:</w:t>
      </w:r>
    </w:p>
    <w:p>
      <w:pPr>
        <w:pStyle w:val="ListParagraph"/>
        <w:numPr>
          <w:ilvl w:val="0"/>
          <w:numId w:val="2"/>
        </w:numPr>
        <w:spacing w:before="40" w:after="40"/>
      </w:pPr>
      <w:r>
        <w:rPr>
          <w:rFonts w:ascii="Arial" w:cs="Arial" w:eastAsia="Arial" w:hAnsi="Arial"/>
          <w:sz w:val="20"/>
          <w:szCs w:val="20"/>
        </w:rPr>
        <w:t xml:space="preserve">Start by reviewing the protocol and PICO framework to ensure the primary and key secondary estimands are fully defined before writing begins.</w:t>
      </w:r>
    </w:p>
    <w:p>
      <w:pPr>
        <w:pStyle w:val="ListParagraph"/>
        <w:numPr>
          <w:ilvl w:val="0"/>
          <w:numId w:val="2"/>
        </w:numPr>
        <w:spacing w:before="40" w:after="40"/>
      </w:pPr>
      <w:r>
        <w:rPr>
          <w:rFonts w:ascii="Arial" w:cs="Arial" w:eastAsia="Arial" w:hAnsi="Arial"/>
          <w:sz w:val="20"/>
          <w:szCs w:val="20"/>
        </w:rPr>
        <w:t xml:space="preserve">Draft the SAP with TLF shells in parallel — the shells force specificity and surface ambiguity early.</w:t>
      </w:r>
    </w:p>
    <w:p>
      <w:pPr>
        <w:pStyle w:val="ListParagraph"/>
        <w:numPr>
          <w:ilvl w:val="0"/>
          <w:numId w:val="2"/>
        </w:numPr>
        <w:spacing w:before="40" w:after="40"/>
      </w:pPr>
      <w:r>
        <w:rPr>
          <w:rFonts w:ascii="Arial" w:cs="Arial" w:eastAsia="Arial" w:hAnsi="Arial"/>
          <w:sz w:val="20"/>
          <w:szCs w:val="20"/>
        </w:rPr>
        <w:t xml:space="preserve">Route for internal review across biostatistics, clinical, regulatory, and data management before CRO handoff.</w:t>
      </w:r>
    </w:p>
    <w:p>
      <w:pPr>
        <w:pStyle w:val="ListParagraph"/>
        <w:numPr>
          <w:ilvl w:val="0"/>
          <w:numId w:val="2"/>
        </w:numPr>
        <w:spacing w:before="40" w:after="40"/>
      </w:pPr>
      <w:r>
        <w:rPr>
          <w:rFonts w:ascii="Arial" w:cs="Arial" w:eastAsia="Arial" w:hAnsi="Arial"/>
          <w:sz w:val="20"/>
          <w:szCs w:val="20"/>
        </w:rPr>
        <w:t xml:space="preserve">Manage version control rigorously — track all amendments with scientific rationale documented.</w:t>
      </w:r>
    </w:p>
    <w:p>
      <w:pPr>
        <w:pStyle w:val="ListParagraph"/>
        <w:numPr>
          <w:ilvl w:val="0"/>
          <w:numId w:val="2"/>
        </w:numPr>
        <w:spacing w:before="40" w:after="40"/>
      </w:pPr>
      <w:r>
        <w:rPr>
          <w:rFonts w:ascii="Arial" w:cs="Arial" w:eastAsia="Arial" w:hAnsi="Arial"/>
          <w:sz w:val="20"/>
          <w:szCs w:val="20"/>
        </w:rPr>
        <w:t xml:space="preserve">Lock the SAP before unblinding, full stop. You have never allowed post-unblinding SAP amendments.</w:t>
      </w:r>
    </w:p>
    <w:p>
      <w:pPr>
        <w:pStyle w:val="ListParagraph"/>
        <w:numPr>
          <w:ilvl w:val="0"/>
          <w:numId w:val="2"/>
        </w:numPr>
        <w:spacing w:before="40" w:after="40"/>
      </w:pPr>
      <w:r>
        <w:rPr>
          <w:rFonts w:ascii="Arial" w:cs="Arial" w:eastAsia="Arial" w:hAnsi="Arial"/>
          <w:sz w:val="20"/>
          <w:szCs w:val="20"/>
        </w:rPr>
        <w:t xml:space="preserve">Ensure CDISC ADaM specs are aligned with the SAP prior to programming start.</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Technical Questions to Expect</w:t>
      </w:r>
    </w:p>
    <w:p>
      <w:pPr>
        <w:spacing w:before="160" w:after="60"/>
      </w:pPr>
      <w:r>
        <w:rPr>
          <w:rFonts w:ascii="Arial" w:cs="Arial" w:eastAsia="Arial" w:hAnsi="Arial"/>
          <w:b/>
          <w:bCs/>
          <w:color w:val="333333"/>
          <w:sz w:val="22"/>
          <w:szCs w:val="22"/>
        </w:rPr>
        <w:t xml:space="preserve">Q1: Walk me through your experience with estimands and the ICH E9(R1) addendum.</w:t>
      </w:r>
    </w:p>
    <w:p>
      <w:pPr>
        <w:spacing w:before="60" w:after="60"/>
      </w:pPr>
      <w:r>
        <w:rPr>
          <w:rFonts w:ascii="Arial" w:cs="Arial" w:eastAsia="Arial" w:hAnsi="Arial"/>
          <w:sz w:val="20"/>
          <w:szCs w:val="20"/>
        </w:rPr>
        <w:t xml:space="preserve">Be prepared to discuss: the five intercurrent event strategies (treatment policy, composite, while on treatment, hypothetical, principal stratum), the impact on SAP structure, and how you have applied estimands in real studies. If they probe — the RSV maternal program or your autoimmune work at ITN are good reference points.</w:t>
      </w:r>
    </w:p>
    <w:p>
      <w:pPr>
        <w:spacing w:before="60" w:after="60"/>
      </w:pPr>
      <w:r>
        <w:t xml:space="preserve"/>
      </w:r>
    </w:p>
    <w:p>
      <w:pPr>
        <w:spacing w:before="160" w:after="60"/>
      </w:pPr>
      <w:r>
        <w:rPr>
          <w:rFonts w:ascii="Arial" w:cs="Arial" w:eastAsia="Arial" w:hAnsi="Arial"/>
          <w:b/>
          <w:bCs/>
          <w:color w:val="333333"/>
          <w:sz w:val="22"/>
          <w:szCs w:val="22"/>
        </w:rPr>
        <w:t xml:space="preserve">Q2: What experience do you have with adaptive designs and clinical trial simulation?</w:t>
      </w:r>
    </w:p>
    <w:p>
      <w:pPr>
        <w:spacing w:before="60" w:after="60"/>
      </w:pPr>
      <w:r>
        <w:rPr>
          <w:rFonts w:ascii="Arial" w:cs="Arial" w:eastAsia="Arial" w:hAnsi="Arial"/>
          <w:sz w:val="20"/>
          <w:szCs w:val="20"/>
        </w:rPr>
        <w:t xml:space="preserve">Reference your BOIN dose-finding implementation at Moderna, your QDM and PoS simulation work at GSK, and your Bayesian analysis expertise. Mention that you have experience running simulations to estimate operating characteristics before committing to a design — which is exactly the due diligence Apogee will want for Phase 3 expansion.</w:t>
      </w:r>
    </w:p>
    <w:p>
      <w:pPr>
        <w:spacing w:before="60" w:after="60"/>
      </w:pPr>
      <w:r>
        <w:t xml:space="preserve"/>
      </w:r>
    </w:p>
    <w:p>
      <w:pPr>
        <w:spacing w:before="160" w:after="60"/>
      </w:pPr>
      <w:r>
        <w:rPr>
          <w:rFonts w:ascii="Arial" w:cs="Arial" w:eastAsia="Arial" w:hAnsi="Arial"/>
          <w:b/>
          <w:bCs/>
          <w:color w:val="333333"/>
          <w:sz w:val="22"/>
          <w:szCs w:val="22"/>
        </w:rPr>
        <w:t xml:space="preserve">Q3: How do you approach multiplicity in a Phase 3 program with multiple endpoints across multiple indications?</w:t>
      </w:r>
    </w:p>
    <w:p>
      <w:pPr>
        <w:spacing w:before="60" w:after="60"/>
      </w:pPr>
      <w:r>
        <w:rPr>
          <w:rFonts w:ascii="Arial" w:cs="Arial" w:eastAsia="Arial" w:hAnsi="Arial"/>
          <w:sz w:val="20"/>
          <w:szCs w:val="20"/>
        </w:rPr>
        <w:t xml:space="preserve">Walk through the hierarchy: primary, key secondary, exploratory. Discuss gatekeeping procedures, Bonferroni/Holm/Hochberg approaches, and the importance of pre-specifying the testing sequence in the SAP and protocol. Ask whether Apogee's programs currently involve co-primary endpoints across AD and asthma — it shows you're thinking about their specific design challenge.</w:t>
      </w:r>
    </w:p>
    <w:p>
      <w:pPr>
        <w:spacing w:before="60" w:after="60"/>
      </w:pPr>
      <w:r>
        <w:t xml:space="preserve"/>
      </w:r>
    </w:p>
    <w:p>
      <w:pPr>
        <w:spacing w:before="160" w:after="60"/>
      </w:pPr>
      <w:r>
        <w:rPr>
          <w:rFonts w:ascii="Arial" w:cs="Arial" w:eastAsia="Arial" w:hAnsi="Arial"/>
          <w:b/>
          <w:bCs/>
          <w:color w:val="333333"/>
          <w:sz w:val="22"/>
          <w:szCs w:val="22"/>
        </w:rPr>
        <w:t xml:space="preserve">Q4: How do you handle missing data in a pivotal efficacy analysis?</w:t>
      </w:r>
    </w:p>
    <w:p>
      <w:pPr>
        <w:spacing w:before="60" w:after="60"/>
      </w:pPr>
      <w:r>
        <w:rPr>
          <w:rFonts w:ascii="Arial" w:cs="Arial" w:eastAsia="Arial" w:hAnsi="Arial"/>
          <w:sz w:val="20"/>
          <w:szCs w:val="20"/>
        </w:rPr>
        <w:t xml:space="preserve">Reference ICH E9(R1) and estimand framework first — because the right missing data strategy flows from the estimand. Then walk through: MAR vs. MNAR assumptions, multiple imputation with sensitivity analyses, and how you validate via tipping point analysis. This is likely to come up given AD and asthma trials often have non-trivial dropout.</w:t>
      </w:r>
    </w:p>
    <w:p>
      <w:pPr>
        <w:spacing w:before="60" w:after="60"/>
      </w:pPr>
      <w:r>
        <w:t xml:space="preserve"/>
      </w:r>
    </w:p>
    <w:p>
      <w:pPr>
        <w:spacing w:before="160" w:after="60"/>
      </w:pPr>
      <w:r>
        <w:rPr>
          <w:rFonts w:ascii="Arial" w:cs="Arial" w:eastAsia="Arial" w:hAnsi="Arial"/>
          <w:b/>
          <w:bCs/>
          <w:color w:val="333333"/>
          <w:sz w:val="22"/>
          <w:szCs w:val="22"/>
        </w:rPr>
        <w:t xml:space="preserve">Q5: What CDISC experience do you have and how closely have you worked with data management teams on specifications?</w:t>
      </w:r>
    </w:p>
    <w:p>
      <w:pPr>
        <w:spacing w:before="60" w:after="60"/>
      </w:pPr>
      <w:r>
        <w:rPr>
          <w:rFonts w:ascii="Arial" w:cs="Arial" w:eastAsia="Arial" w:hAnsi="Arial"/>
          <w:sz w:val="20"/>
          <w:szCs w:val="20"/>
        </w:rPr>
        <w:t xml:space="preserve">You have direct SDTM and ADaM spec review experience at both Moderna and GSK. Reference your CRF review, eCRF setup oversight, and collaboration on ADaM specs to ensure alignment with SAP. Mention that you view biostatistics-data management alignment as a quality gate, not just a handoff.</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Smart Questions to Ask the Hiring Manager</w:t>
      </w:r>
    </w:p>
    <w:p>
      <w:pPr>
        <w:pStyle w:val="ListParagraph"/>
        <w:numPr>
          <w:ilvl w:val="0"/>
          <w:numId w:val="2"/>
        </w:numPr>
        <w:spacing w:before="40" w:after="40"/>
      </w:pPr>
      <w:r>
        <w:rPr>
          <w:rFonts w:ascii="Arial" w:cs="Arial" w:eastAsia="Arial" w:hAnsi="Arial"/>
          <w:sz w:val="20"/>
          <w:szCs w:val="20"/>
        </w:rPr>
        <w:t xml:space="preserve">"You mentioned you're building internal biometrics capacity and reducing CRO reliance over time — where does this role sit in that evolution? Will the AD be more closely managing CROs initially and transitioning to more internal oversight?"</w:t>
      </w:r>
    </w:p>
    <w:p>
      <w:pPr>
        <w:pStyle w:val="ListParagraph"/>
        <w:numPr>
          <w:ilvl w:val="0"/>
          <w:numId w:val="2"/>
        </w:numPr>
        <w:spacing w:before="40" w:after="40"/>
      </w:pPr>
      <w:r>
        <w:rPr>
          <w:rFonts w:ascii="Arial" w:cs="Arial" w:eastAsia="Arial" w:hAnsi="Arial"/>
          <w:sz w:val="20"/>
          <w:szCs w:val="20"/>
        </w:rPr>
        <w:t xml:space="preserve">"Can you tell me more about where zumilokibart is in development — specifically the Phase 3 design and what statistical challenges you're anticipating for the primary endpoints in AD?"</w:t>
      </w:r>
    </w:p>
    <w:p>
      <w:pPr>
        <w:pStyle w:val="ListParagraph"/>
        <w:numPr>
          <w:ilvl w:val="0"/>
          <w:numId w:val="2"/>
        </w:numPr>
        <w:spacing w:before="40" w:after="40"/>
      </w:pPr>
      <w:r>
        <w:rPr>
          <w:rFonts w:ascii="Arial" w:cs="Arial" w:eastAsia="Arial" w:hAnsi="Arial"/>
          <w:sz w:val="20"/>
          <w:szCs w:val="20"/>
        </w:rPr>
        <w:t xml:space="preserve">"How does biostatistics engage with regulatory strategy at Apogee? Does the AD role have a seat at the table for agency meeting prep and briefing documents?"</w:t>
      </w:r>
    </w:p>
    <w:p>
      <w:pPr>
        <w:pStyle w:val="ListParagraph"/>
        <w:numPr>
          <w:ilvl w:val="0"/>
          <w:numId w:val="2"/>
        </w:numPr>
        <w:spacing w:before="40" w:after="40"/>
      </w:pPr>
      <w:r>
        <w:rPr>
          <w:rFonts w:ascii="Arial" w:cs="Arial" w:eastAsia="Arial" w:hAnsi="Arial"/>
          <w:sz w:val="20"/>
          <w:szCs w:val="20"/>
        </w:rPr>
        <w:t xml:space="preserve">"How do Richard and Cindy typically describe the difference between a good AD and a great AD on this team?"</w:t>
      </w:r>
    </w:p>
    <w:p>
      <w:pPr>
        <w:pStyle w:val="ListParagraph"/>
        <w:numPr>
          <w:ilvl w:val="0"/>
          <w:numId w:val="2"/>
        </w:numPr>
        <w:spacing w:before="40" w:after="40"/>
      </w:pPr>
      <w:r>
        <w:rPr>
          <w:rFonts w:ascii="Arial" w:cs="Arial" w:eastAsia="Arial" w:hAnsi="Arial"/>
          <w:sz w:val="20"/>
          <w:szCs w:val="20"/>
        </w:rPr>
        <w:t xml:space="preserve">"What does success look like in the first six months for someone stepping into this role?"</w:t>
      </w:r>
    </w:p>
    <w:p>
      <w:pPr>
        <w:spacing w:before="60" w:after="60"/>
      </w:pPr>
      <w:r>
        <w:t xml:space="preserve"/>
      </w:r>
    </w:p>
    <w:p>
      <w:pPr>
        <w:pStyle w:val="Heading1"/>
        <w:pBdr>
          <w:bottom w:val="single" w:color="2E75B6" w:sz="6" w:space="1"/>
        </w:pBdr>
        <w:spacing w:before="300" w:after="120"/>
      </w:pPr>
      <w:r>
        <w:rPr>
          <w:rFonts w:ascii="Arial" w:cs="Arial" w:eastAsia="Arial" w:hAnsi="Arial"/>
          <w:b/>
          <w:bCs/>
          <w:color w:val="1F4E79"/>
          <w:sz w:val="30"/>
          <w:szCs w:val="30"/>
        </w:rPr>
        <w:t xml:space="preserve">5. Panel / Final Round Prep</w:t>
      </w:r>
    </w:p>
    <w:p>
      <w:pPr>
        <w:spacing w:before="60" w:after="60"/>
      </w:pPr>
      <w:r>
        <w:rPr>
          <w:rFonts w:ascii="Arial" w:cs="Arial" w:eastAsia="Arial" w:hAnsi="Arial"/>
          <w:sz w:val="20"/>
          <w:szCs w:val="20"/>
        </w:rPr>
        <w:t xml:space="preserve">If this progresses to a panel stage, you may meet with additional biometrics team members, cross-functional partners (Clinical, Regulatory, Data Management), and potentially senior leadership. Expect the tone to shift from deep-dive technical to evaluating how you collaborate, communicate, and fit within the team dynamic.</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Anticipated Themes</w:t>
      </w:r>
    </w:p>
    <w:p>
      <w:pPr>
        <w:pStyle w:val="ListParagraph"/>
        <w:numPr>
          <w:ilvl w:val="0"/>
          <w:numId w:val="2"/>
        </w:numPr>
        <w:spacing w:before="40" w:after="40"/>
      </w:pPr>
      <w:r>
        <w:rPr>
          <w:rFonts w:ascii="Arial" w:cs="Arial" w:eastAsia="Arial" w:hAnsi="Arial"/>
          <w:sz w:val="20"/>
          <w:szCs w:val="20"/>
        </w:rPr>
        <w:t xml:space="preserve">Collaboration — how do you work with statisticians below you, and partners across Clinical, DM, and Regulatory above you?</w:t>
      </w:r>
    </w:p>
    <w:p>
      <w:pPr>
        <w:pStyle w:val="ListParagraph"/>
        <w:numPr>
          <w:ilvl w:val="0"/>
          <w:numId w:val="2"/>
        </w:numPr>
        <w:spacing w:before="40" w:after="40"/>
      </w:pPr>
      <w:r>
        <w:rPr>
          <w:rFonts w:ascii="Arial" w:cs="Arial" w:eastAsia="Arial" w:hAnsi="Arial"/>
          <w:sz w:val="20"/>
          <w:szCs w:val="20"/>
        </w:rPr>
        <w:t xml:space="preserve">Conflict and pushback — how do you handle disagreement with a clinical partner who wants to change the analysis plan post-unblinding, or a CRO that pushes back on timeline?</w:t>
      </w:r>
    </w:p>
    <w:p>
      <w:pPr>
        <w:pStyle w:val="ListParagraph"/>
        <w:numPr>
          <w:ilvl w:val="0"/>
          <w:numId w:val="2"/>
        </w:numPr>
        <w:spacing w:before="40" w:after="40"/>
      </w:pPr>
      <w:r>
        <w:rPr>
          <w:rFonts w:ascii="Arial" w:cs="Arial" w:eastAsia="Arial" w:hAnsi="Arial"/>
          <w:sz w:val="20"/>
          <w:szCs w:val="20"/>
        </w:rPr>
        <w:t xml:space="preserve">Decision-making under uncertainty — how do you make a call when the data is noisy or the regulatory guidance is ambiguous?</w:t>
      </w:r>
    </w:p>
    <w:p>
      <w:pPr>
        <w:pStyle w:val="ListParagraph"/>
        <w:numPr>
          <w:ilvl w:val="0"/>
          <w:numId w:val="2"/>
        </w:numPr>
        <w:spacing w:before="40" w:after="40"/>
      </w:pPr>
      <w:r>
        <w:rPr>
          <w:rFonts w:ascii="Arial" w:cs="Arial" w:eastAsia="Arial" w:hAnsi="Arial"/>
          <w:sz w:val="20"/>
          <w:szCs w:val="20"/>
        </w:rPr>
        <w:t xml:space="preserve">Culture contribution — how do you contribute to a team beyond your individual technical output?</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Sample Scenario Questions</w:t>
      </w:r>
    </w:p>
    <w:p>
      <w:pPr>
        <w:spacing w:before="160" w:after="60"/>
      </w:pPr>
      <w:r>
        <w:rPr>
          <w:rFonts w:ascii="Arial" w:cs="Arial" w:eastAsia="Arial" w:hAnsi="Arial"/>
          <w:b/>
          <w:bCs/>
          <w:color w:val="333333"/>
          <w:sz w:val="22"/>
          <w:szCs w:val="22"/>
        </w:rPr>
        <w:t xml:space="preserve">"Imagine you're three weeks out from a database lock and the clinical team wants to add a new secondary endpoint. How do you handle that?"</w:t>
      </w:r>
    </w:p>
    <w:p>
      <w:pPr>
        <w:spacing w:before="60" w:after="60"/>
      </w:pPr>
      <w:r>
        <w:rPr>
          <w:rFonts w:ascii="Arial" w:cs="Arial" w:eastAsia="Arial" w:hAnsi="Arial"/>
          <w:sz w:val="20"/>
          <w:szCs w:val="20"/>
        </w:rPr>
        <w:t xml:space="preserve">This tests your integrity and judgment simultaneously. The right answer: you escalate to the team lead immediately, explain the regulatory and statistical implications of post-lock analysis additions, and offer a documented exploratory analysis path if there's a legitimate scientific question. You do not amend the SAP post-lock without documented rationale and leadership sign-off. Be direct about where the line is.</w:t>
      </w:r>
    </w:p>
    <w:p>
      <w:pPr>
        <w:spacing w:before="60" w:after="60"/>
      </w:pPr>
      <w:r>
        <w:t xml:space="preserve"/>
      </w:r>
    </w:p>
    <w:p>
      <w:pPr>
        <w:spacing w:before="160" w:after="60"/>
      </w:pPr>
      <w:r>
        <w:rPr>
          <w:rFonts w:ascii="Arial" w:cs="Arial" w:eastAsia="Arial" w:hAnsi="Arial"/>
          <w:b/>
          <w:bCs/>
          <w:color w:val="333333"/>
          <w:sz w:val="22"/>
          <w:szCs w:val="22"/>
        </w:rPr>
        <w:t xml:space="preserve">"Tell me about a time you disagreed with a clinical or medical colleague about a statistical decision. How did you resolve it?"</w:t>
      </w:r>
    </w:p>
    <w:p>
      <w:pPr>
        <w:spacing w:before="60" w:after="60"/>
      </w:pPr>
      <w:r>
        <w:rPr>
          <w:rFonts w:ascii="Arial" w:cs="Arial" w:eastAsia="Arial" w:hAnsi="Arial"/>
          <w:sz w:val="20"/>
          <w:szCs w:val="20"/>
        </w:rPr>
        <w:t xml:space="preserve">Use a real example where you stood your ground on a statistical principle while still finding a collaborative resolution. The goal is to show you can be diplomatically firm — not a pushover, and not combative.</w:t>
      </w:r>
    </w:p>
    <w:p>
      <w:pPr>
        <w:spacing w:before="60" w:after="60"/>
      </w:pPr>
      <w:r>
        <w:t xml:space="preserve"/>
      </w:r>
    </w:p>
    <w:p>
      <w:pPr>
        <w:spacing w:before="160" w:after="60"/>
      </w:pPr>
      <w:r>
        <w:rPr>
          <w:rFonts w:ascii="Arial" w:cs="Arial" w:eastAsia="Arial" w:hAnsi="Arial"/>
          <w:b/>
          <w:bCs/>
          <w:color w:val="333333"/>
          <w:sz w:val="22"/>
          <w:szCs w:val="22"/>
        </w:rPr>
        <w:t xml:space="preserve">"How do you mentor or develop more junior statisticians?"</w:t>
      </w:r>
    </w:p>
    <w:p>
      <w:pPr>
        <w:spacing w:before="60" w:after="60"/>
      </w:pPr>
      <w:r>
        <w:rPr>
          <w:rFonts w:ascii="Arial" w:cs="Arial" w:eastAsia="Arial" w:hAnsi="Arial"/>
          <w:sz w:val="20"/>
          <w:szCs w:val="20"/>
        </w:rPr>
        <w:t xml:space="preserve">Reference specific examples: reviewing others' SAPs and providing developmental feedback, involving junior team members in CRO QC so they learn the process, explaining the 'why' behind methodology choices, not just the 'what.'</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Multi-Interviewer Tips</w:t>
      </w:r>
    </w:p>
    <w:p>
      <w:pPr>
        <w:pStyle w:val="ListParagraph"/>
        <w:numPr>
          <w:ilvl w:val="0"/>
          <w:numId w:val="2"/>
        </w:numPr>
        <w:spacing w:before="40" w:after="40"/>
      </w:pPr>
      <w:r>
        <w:rPr>
          <w:rFonts w:ascii="Arial" w:cs="Arial" w:eastAsia="Arial" w:hAnsi="Arial"/>
          <w:sz w:val="20"/>
          <w:szCs w:val="20"/>
        </w:rPr>
        <w:t xml:space="preserve">Make consistent eye contact with everyone on the call — not just the person who asked the question.</w:t>
      </w:r>
    </w:p>
    <w:p>
      <w:pPr>
        <w:pStyle w:val="ListParagraph"/>
        <w:numPr>
          <w:ilvl w:val="0"/>
          <w:numId w:val="2"/>
        </w:numPr>
        <w:spacing w:before="40" w:after="40"/>
      </w:pPr>
      <w:r>
        <w:rPr>
          <w:rFonts w:ascii="Arial" w:cs="Arial" w:eastAsia="Arial" w:hAnsi="Arial"/>
          <w:sz w:val="20"/>
          <w:szCs w:val="20"/>
        </w:rPr>
        <w:t xml:space="preserve">When you finish an answer, briefly scan the panel to see if anyone wants to follow up before moving on.</w:t>
      </w:r>
    </w:p>
    <w:p>
      <w:pPr>
        <w:pStyle w:val="ListParagraph"/>
        <w:numPr>
          <w:ilvl w:val="0"/>
          <w:numId w:val="2"/>
        </w:numPr>
        <w:spacing w:before="40" w:after="40"/>
      </w:pPr>
      <w:r>
        <w:rPr>
          <w:rFonts w:ascii="Arial" w:cs="Arial" w:eastAsia="Arial" w:hAnsi="Arial"/>
          <w:sz w:val="20"/>
          <w:szCs w:val="20"/>
        </w:rPr>
        <w:t xml:space="preserve">If two panelists seem to have different priorities, acknowledge both and speak to each. This shows situational awareness.</w:t>
      </w:r>
    </w:p>
    <w:p>
      <w:pPr>
        <w:pStyle w:val="ListParagraph"/>
        <w:numPr>
          <w:ilvl w:val="0"/>
          <w:numId w:val="2"/>
        </w:numPr>
        <w:spacing w:before="40" w:after="40"/>
      </w:pPr>
      <w:r>
        <w:rPr>
          <w:rFonts w:ascii="Arial" w:cs="Arial" w:eastAsia="Arial" w:hAnsi="Arial"/>
          <w:sz w:val="20"/>
          <w:szCs w:val="20"/>
        </w:rPr>
        <w:t xml:space="preserve">Keep answers to 2–3 minutes unless probed. Panelists lose the thread with long answers in multi-person formats.</w:t>
      </w:r>
    </w:p>
    <w:p>
      <w:pPr>
        <w:pStyle w:val="ListParagraph"/>
        <w:numPr>
          <w:ilvl w:val="0"/>
          <w:numId w:val="2"/>
        </w:numPr>
        <w:spacing w:before="40" w:after="40"/>
      </w:pPr>
      <w:r>
        <w:rPr>
          <w:rFonts w:ascii="Arial" w:cs="Arial" w:eastAsia="Arial" w:hAnsi="Arial"/>
          <w:sz w:val="20"/>
          <w:szCs w:val="20"/>
        </w:rPr>
        <w:t xml:space="preserve">End the panel by asking one question to the group — something like: 'What's the one thing the most successful person in this role does consistently that others don't?' It's memorable and tells you something real.</w:t>
      </w:r>
    </w:p>
    <w:p>
      <w:pPr>
        <w:spacing w:before="60" w:after="60"/>
      </w:pPr>
      <w:r>
        <w:t xml:space="preserve"/>
      </w:r>
    </w:p>
    <w:p>
      <w:pPr>
        <w:pStyle w:val="Heading1"/>
        <w:pBdr>
          <w:bottom w:val="single" w:color="2E75B6" w:sz="6" w:space="1"/>
        </w:pBdr>
        <w:spacing w:before="300" w:after="120"/>
      </w:pPr>
      <w:r>
        <w:rPr>
          <w:rFonts w:ascii="Arial" w:cs="Arial" w:eastAsia="Arial" w:hAnsi="Arial"/>
          <w:b/>
          <w:bCs/>
          <w:color w:val="1F4E79"/>
          <w:sz w:val="30"/>
          <w:szCs w:val="30"/>
        </w:rPr>
        <w:t xml:space="preserve">6. Culture &amp; Company Fit</w:t>
      </w:r>
    </w:p>
    <w:p>
      <w:pPr>
        <w:spacing w:before="60" w:after="60"/>
      </w:pPr>
      <w:r>
        <w:rPr>
          <w:rFonts w:ascii="Arial" w:cs="Arial" w:eastAsia="Arial" w:hAnsi="Arial"/>
          <w:sz w:val="20"/>
          <w:szCs w:val="20"/>
        </w:rPr>
        <w:t xml:space="preserve">Apogee operates on their C.O.R.E. values: Caring, Original, Resilient, and Egoless. These aren't just wall art — the hiring team is explicitly looking for alignment here. Here's how to connect your background to each:</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C.O.R.E. Alignment Points</w:t>
      </w:r>
    </w:p>
    <w:p>
      <w:pPr>
        <w:spacing w:before="160" w:after="60"/>
      </w:pPr>
      <w:r>
        <w:rPr>
          <w:rFonts w:ascii="Arial" w:cs="Arial" w:eastAsia="Arial" w:hAnsi="Arial"/>
          <w:b/>
          <w:bCs/>
          <w:color w:val="333333"/>
          <w:sz w:val="22"/>
          <w:szCs w:val="22"/>
        </w:rPr>
        <w:t xml:space="preserve">Caring</w:t>
      </w:r>
    </w:p>
    <w:p>
      <w:pPr>
        <w:spacing w:before="60" w:after="60"/>
      </w:pPr>
      <w:r>
        <w:rPr>
          <w:rFonts w:ascii="Arial" w:cs="Arial" w:eastAsia="Arial" w:hAnsi="Arial"/>
          <w:sz w:val="20"/>
          <w:szCs w:val="20"/>
        </w:rPr>
        <w:t xml:space="preserve">Your six years at the Immune Tolerance Network were fundamentally about improving outcomes for patients with allergy and autoimmune disease — often in underfunded areas. You can speak genuinely about what it means to contribute statistical rigor to science that directly affects patients' quality of life. Apogee's atopic dermatitis and asthma programs carry that same patient-stakes weight.</w:t>
      </w:r>
    </w:p>
    <w:p>
      <w:pPr>
        <w:spacing w:before="60" w:after="60"/>
      </w:pPr>
      <w:r>
        <w:t xml:space="preserve"/>
      </w:r>
    </w:p>
    <w:p>
      <w:pPr>
        <w:spacing w:before="160" w:after="60"/>
      </w:pPr>
      <w:r>
        <w:rPr>
          <w:rFonts w:ascii="Arial" w:cs="Arial" w:eastAsia="Arial" w:hAnsi="Arial"/>
          <w:b/>
          <w:bCs/>
          <w:color w:val="333333"/>
          <w:sz w:val="22"/>
          <w:szCs w:val="22"/>
        </w:rPr>
        <w:t xml:space="preserve">Original</w:t>
      </w:r>
    </w:p>
    <w:p>
      <w:pPr>
        <w:spacing w:before="60" w:after="60"/>
      </w:pPr>
      <w:r>
        <w:rPr>
          <w:rFonts w:ascii="Arial" w:cs="Arial" w:eastAsia="Arial" w:hAnsi="Arial"/>
          <w:sz w:val="20"/>
          <w:szCs w:val="20"/>
        </w:rPr>
        <w:t xml:space="preserve">Your Bayesian and BOIN methodology work, your QDM simulation experience at GSK, and your publications in JAMA and The Lancet all signal someone who doesn't just run standard analyses — you contribute to how the science is done. Reference a time you introduced a methodological approach or tool that the team hadn't used before.</w:t>
      </w:r>
    </w:p>
    <w:p>
      <w:pPr>
        <w:spacing w:before="60" w:after="60"/>
      </w:pPr>
      <w:r>
        <w:t xml:space="preserve"/>
      </w:r>
    </w:p>
    <w:p>
      <w:pPr>
        <w:spacing w:before="160" w:after="60"/>
      </w:pPr>
      <w:r>
        <w:rPr>
          <w:rFonts w:ascii="Arial" w:cs="Arial" w:eastAsia="Arial" w:hAnsi="Arial"/>
          <w:b/>
          <w:bCs/>
          <w:color w:val="333333"/>
          <w:sz w:val="22"/>
          <w:szCs w:val="22"/>
        </w:rPr>
        <w:t xml:space="preserve">Resilient</w:t>
      </w:r>
    </w:p>
    <w:p>
      <w:pPr>
        <w:spacing w:before="60" w:after="60"/>
      </w:pPr>
      <w:r>
        <w:rPr>
          <w:rFonts w:ascii="Arial" w:cs="Arial" w:eastAsia="Arial" w:hAnsi="Arial"/>
          <w:sz w:val="20"/>
          <w:szCs w:val="20"/>
        </w:rPr>
        <w:t xml:space="preserve">You can speak authentically here: navigating a Moderna layoff while mid-program is a real test of resilience. More importantly, you navigated a GSK CMV program pivot mid-development and kept the statistical strategy coherent. Use that. Resilience isn't about hardship — it's about staying technically sharp and team-focused when conditions change.</w:t>
      </w:r>
    </w:p>
    <w:p>
      <w:pPr>
        <w:spacing w:before="60" w:after="60"/>
      </w:pPr>
      <w:r>
        <w:t xml:space="preserve"/>
      </w:r>
    </w:p>
    <w:p>
      <w:pPr>
        <w:spacing w:before="160" w:after="60"/>
      </w:pPr>
      <w:r>
        <w:rPr>
          <w:rFonts w:ascii="Arial" w:cs="Arial" w:eastAsia="Arial" w:hAnsi="Arial"/>
          <w:b/>
          <w:bCs/>
          <w:color w:val="333333"/>
          <w:sz w:val="22"/>
          <w:szCs w:val="22"/>
        </w:rPr>
        <w:t xml:space="preserve">Egoless</w:t>
      </w:r>
    </w:p>
    <w:p>
      <w:pPr>
        <w:spacing w:before="60" w:after="60"/>
      </w:pPr>
      <w:r>
        <w:rPr>
          <w:rFonts w:ascii="Arial" w:cs="Arial" w:eastAsia="Arial" w:hAnsi="Arial"/>
          <w:sz w:val="20"/>
          <w:szCs w:val="20"/>
        </w:rPr>
        <w:t xml:space="preserve">This is where your communication style matters most. Apogee explicitly flagged candidates who are difficult to work with or who can't listen. Come into every conversation with genuine curiosity: ask questions, confirm your understanding before offering solutions, and credit cross-functional partners when you describe your successes. Show that you've learned as much from clinical and regulatory colleagues as they've learned from you.</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KEY INTEL</w:t>
            </w:r>
          </w:p>
        </w:tc>
        <w:tc>
          <w:tcPr>
            <w:tcW w:type="dxa" w:w="7960"/>
            <w:tcBorders>
              <w:top w:val="none" w:color="FFFFFF" w:sz="0"/>
              <w:left w:val="none" w:color="FFFFFF" w:sz="0"/>
              <w:bottom w:val="none" w:color="FFFFFF" w:sz="0"/>
              <w:right w:val="none" w:color="FFFFFF" w:sz="0"/>
            </w:tcBorders>
            <w:shd w:fill="D6E4F0" w:val="clear"/>
            <w:tcMar>
              <w:top w:type="dxa" w:w="100"/>
              <w:left w:type="dxa" w:w="150"/>
              <w:bottom w:type="dxa" w:w="100"/>
              <w:right w:type="dxa" w:w="120"/>
            </w:tcMar>
          </w:tcPr>
          <w:p>
            <w:r>
              <w:rPr>
                <w:rFonts w:ascii="Arial" w:cs="Arial" w:eastAsia="Arial" w:hAnsi="Arial"/>
                <w:sz w:val="20"/>
                <w:szCs w:val="20"/>
              </w:rPr>
              <w:t xml:space="preserve">Apogee has been frustrated by candidates who look strong on paper but interview poorly. You have the stronger profile on paper. The differentiation opportunity is in the room — communication clarity, executive presence, and cultural fit are how you win this.</w:t>
            </w:r>
          </w:p>
        </w:tc>
      </w:tr>
    </w:tbl>
    <w:p>
      <w:pPr>
        <w:spacing w:before="60" w:after="60"/>
      </w:pPr>
      <w:r>
        <w:t xml:space="preserve"/>
      </w:r>
    </w:p>
    <w:p>
      <w:pPr>
        <w:pStyle w:val="Heading1"/>
        <w:pBdr>
          <w:bottom w:val="single" w:color="2E75B6" w:sz="6" w:space="1"/>
        </w:pBdr>
        <w:spacing w:before="300" w:after="120"/>
      </w:pPr>
      <w:r>
        <w:rPr>
          <w:rFonts w:ascii="Arial" w:cs="Arial" w:eastAsia="Arial" w:hAnsi="Arial"/>
          <w:b/>
          <w:bCs/>
          <w:color w:val="1F4E79"/>
          <w:sz w:val="30"/>
          <w:szCs w:val="30"/>
        </w:rPr>
        <w:t xml:space="preserve">7. Pre-Interview Research Checklist</w:t>
      </w:r>
    </w:p>
    <w:p>
      <w:pPr>
        <w:pStyle w:val="Heading2"/>
        <w:spacing w:before="240" w:after="80"/>
      </w:pPr>
      <w:r>
        <w:rPr>
          <w:rFonts w:ascii="Arial" w:cs="Arial" w:eastAsia="Arial" w:hAnsi="Arial"/>
          <w:b/>
          <w:bCs/>
          <w:color w:val="2E75B6"/>
          <w:sz w:val="24"/>
          <w:szCs w:val="24"/>
        </w:rPr>
        <w:t xml:space="preserve">Things to Know Before You Walk In</w:t>
      </w:r>
    </w:p>
    <w:p>
      <w:pPr>
        <w:pStyle w:val="ListParagraph"/>
        <w:numPr>
          <w:ilvl w:val="0"/>
          <w:numId w:val="2"/>
        </w:numPr>
        <w:spacing w:before="40" w:after="40"/>
      </w:pPr>
      <w:r>
        <w:rPr>
          <w:rFonts w:ascii="Arial" w:cs="Arial" w:eastAsia="Arial" w:hAnsi="Arial"/>
          <w:sz w:val="20"/>
          <w:szCs w:val="20"/>
        </w:rPr>
        <w:t xml:space="preserve">Read Apogee's most recent pipeline updates — specifically zumilokibart Phase 2/3 data in atopic dermatitis and asthma, and the status of APG808 and APG990.</w:t>
      </w:r>
    </w:p>
    <w:p>
      <w:pPr>
        <w:pStyle w:val="ListParagraph"/>
        <w:numPr>
          <w:ilvl w:val="0"/>
          <w:numId w:val="2"/>
        </w:numPr>
        <w:spacing w:before="40" w:after="40"/>
      </w:pPr>
      <w:r>
        <w:rPr>
          <w:rFonts w:ascii="Arial" w:cs="Arial" w:eastAsia="Arial" w:hAnsi="Arial"/>
          <w:sz w:val="20"/>
          <w:szCs w:val="20"/>
        </w:rPr>
        <w:t xml:space="preserve">Review Apogee's 2024/2025 press releases and investor presentations on their website and SEC filings. Know their funding status and recent milestones.</w:t>
      </w:r>
    </w:p>
    <w:p>
      <w:pPr>
        <w:pStyle w:val="ListParagraph"/>
        <w:numPr>
          <w:ilvl w:val="0"/>
          <w:numId w:val="2"/>
        </w:numPr>
        <w:spacing w:before="40" w:after="40"/>
      </w:pPr>
      <w:r>
        <w:rPr>
          <w:rFonts w:ascii="Arial" w:cs="Arial" w:eastAsia="Arial" w:hAnsi="Arial"/>
          <w:sz w:val="20"/>
          <w:szCs w:val="20"/>
        </w:rPr>
        <w:t xml:space="preserve">Look up Richard Willey and Cindy Wu on LinkedIn. Understand their background, where they came from, and what kind of experience they bring to the biometrics team.</w:t>
      </w:r>
    </w:p>
    <w:p>
      <w:pPr>
        <w:pStyle w:val="ListParagraph"/>
        <w:numPr>
          <w:ilvl w:val="0"/>
          <w:numId w:val="2"/>
        </w:numPr>
        <w:spacing w:before="40" w:after="40"/>
      </w:pPr>
      <w:r>
        <w:rPr>
          <w:rFonts w:ascii="Arial" w:cs="Arial" w:eastAsia="Arial" w:hAnsi="Arial"/>
          <w:sz w:val="20"/>
          <w:szCs w:val="20"/>
        </w:rPr>
        <w:t xml:space="preserve">Review ICH E9(R1) estimand guidance — it will almost certainly come up.</w:t>
      </w:r>
    </w:p>
    <w:p>
      <w:pPr>
        <w:pStyle w:val="ListParagraph"/>
        <w:numPr>
          <w:ilvl w:val="0"/>
          <w:numId w:val="2"/>
        </w:numPr>
        <w:spacing w:before="40" w:after="40"/>
      </w:pPr>
      <w:r>
        <w:rPr>
          <w:rFonts w:ascii="Arial" w:cs="Arial" w:eastAsia="Arial" w:hAnsi="Arial"/>
          <w:sz w:val="20"/>
          <w:szCs w:val="20"/>
        </w:rPr>
        <w:t xml:space="preserve">Be ready to discuss why you believe biologics in atopic dermatitis are an important development area and what makes Apogee's approach potentially differentiated vs. dupilumab and lebrikizumab.</w:t>
      </w:r>
    </w:p>
    <w:p>
      <w:pPr>
        <w:spacing w:before="60" w:after="60"/>
      </w:pPr>
      <w:r>
        <w:t xml:space="preserve"/>
      </w:r>
    </w:p>
    <w:p>
      <w:pPr>
        <w:pStyle w:val="Heading2"/>
        <w:spacing w:before="240" w:after="80"/>
      </w:pPr>
      <w:r>
        <w:rPr>
          <w:rFonts w:ascii="Arial" w:cs="Arial" w:eastAsia="Arial" w:hAnsi="Arial"/>
          <w:b/>
          <w:bCs/>
          <w:color w:val="2E75B6"/>
          <w:sz w:val="24"/>
          <w:szCs w:val="24"/>
        </w:rPr>
        <w:t xml:space="preserve">Day-of Logistics</w:t>
      </w:r>
    </w:p>
    <w:p>
      <w:pPr>
        <w:pStyle w:val="ListParagraph"/>
        <w:numPr>
          <w:ilvl w:val="0"/>
          <w:numId w:val="2"/>
        </w:numPr>
        <w:spacing w:before="40" w:after="40"/>
      </w:pPr>
      <w:r>
        <w:rPr>
          <w:rFonts w:ascii="Arial" w:cs="Arial" w:eastAsia="Arial" w:hAnsi="Arial"/>
          <w:sz w:val="20"/>
          <w:szCs w:val="20"/>
        </w:rPr>
        <w:t xml:space="preserve">Log in 5 minutes early for video calls. Test audio and video beforehand.</w:t>
      </w:r>
    </w:p>
    <w:p>
      <w:pPr>
        <w:pStyle w:val="ListParagraph"/>
        <w:numPr>
          <w:ilvl w:val="0"/>
          <w:numId w:val="2"/>
        </w:numPr>
        <w:spacing w:before="40" w:after="40"/>
      </w:pPr>
      <w:r>
        <w:rPr>
          <w:rFonts w:ascii="Arial" w:cs="Arial" w:eastAsia="Arial" w:hAnsi="Arial"/>
          <w:sz w:val="20"/>
          <w:szCs w:val="20"/>
        </w:rPr>
        <w:t xml:space="preserve">Have your resume printed or visible on a second screen — you may need to reference it.</w:t>
      </w:r>
    </w:p>
    <w:p>
      <w:pPr>
        <w:pStyle w:val="ListParagraph"/>
        <w:numPr>
          <w:ilvl w:val="0"/>
          <w:numId w:val="2"/>
        </w:numPr>
        <w:spacing w:before="40" w:after="40"/>
      </w:pPr>
      <w:r>
        <w:rPr>
          <w:rFonts w:ascii="Arial" w:cs="Arial" w:eastAsia="Arial" w:hAnsi="Arial"/>
          <w:sz w:val="20"/>
          <w:szCs w:val="20"/>
        </w:rPr>
        <w:t xml:space="preserve">Keep a notepad nearby to jot down names and follow-up questions during the conversation.</w:t>
      </w:r>
    </w:p>
    <w:p>
      <w:pPr>
        <w:pStyle w:val="ListParagraph"/>
        <w:numPr>
          <w:ilvl w:val="0"/>
          <w:numId w:val="2"/>
        </w:numPr>
        <w:spacing w:before="40" w:after="40"/>
      </w:pPr>
      <w:r>
        <w:rPr>
          <w:rFonts w:ascii="Arial" w:cs="Arial" w:eastAsia="Arial" w:hAnsi="Arial"/>
          <w:sz w:val="20"/>
          <w:szCs w:val="20"/>
        </w:rPr>
        <w:t xml:space="preserve">Send a thank-you note within 24 hours. Keep it brief, specific, and warm — reference something concrete from the conversation.</w:t>
      </w:r>
    </w:p>
    <w:p>
      <w:pPr>
        <w:spacing w:before="60" w:after="60"/>
      </w:pPr>
      <w:r>
        <w:t xml:space="preserve"/>
      </w:r>
    </w:p>
    <w:p>
      <w:pPr>
        <w:pBdr>
          <w:top w:val="single" w:color="CCCCCC" w:sz="4" w:space="1"/>
        </w:pBdr>
        <w:spacing w:before="300" w:after="0"/>
        <w:jc w:val="center"/>
      </w:pPr>
      <w:r>
        <w:rPr>
          <w:rFonts w:ascii="Arial" w:cs="Arial" w:eastAsia="Arial" w:hAnsi="Arial"/>
          <w:i/>
          <w:iCs/>
          <w:color w:val="999999"/>
          <w:sz w:val="16"/>
          <w:szCs w:val="16"/>
        </w:rPr>
        <w:t xml:space="preserve">Prepared by GQR Global Markets  ·  Confidential  ·  For Candidate Use Only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2026-03-11T20:27:37.355Z</dcterms:created>
  <dcterms:modified xsi:type="dcterms:W3CDTF">2026-03-11T20:27:37.356Z</dcterms:modified>
</cp:coreProperties>
</file>

<file path=docProps/custom.xml><?xml version="1.0" encoding="utf-8"?>
<Properties xmlns="http://schemas.openxmlformats.org/officeDocument/2006/custom-properties" xmlns:vt="http://schemas.openxmlformats.org/officeDocument/2006/docPropsVTypes"/>
</file>