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1ED5" w14:textId="77777777" w:rsidR="006269B7" w:rsidRPr="006269B7" w:rsidRDefault="006269B7" w:rsidP="006269B7">
      <w:r w:rsidRPr="006269B7">
        <w:rPr>
          <w:b/>
          <w:bCs/>
        </w:rPr>
        <w:t>Job Title:</w:t>
      </w:r>
      <w:r w:rsidRPr="006269B7">
        <w:t xml:space="preserve"> Senior Manager, Medical Writing</w:t>
      </w:r>
      <w:r w:rsidRPr="006269B7">
        <w:br/>
      </w:r>
      <w:r w:rsidRPr="006269B7">
        <w:rPr>
          <w:b/>
          <w:bCs/>
        </w:rPr>
        <w:t>Company Name:</w:t>
      </w:r>
      <w:r w:rsidRPr="006269B7">
        <w:t xml:space="preserve"> Alkermes</w:t>
      </w:r>
      <w:r w:rsidRPr="006269B7">
        <w:br/>
      </w:r>
      <w:r w:rsidRPr="006269B7">
        <w:rPr>
          <w:b/>
          <w:bCs/>
        </w:rPr>
        <w:t>Location:</w:t>
      </w:r>
      <w:r w:rsidRPr="006269B7">
        <w:t xml:space="preserve"> Waltham, MA — Hybrid (minimum 3 days onsite; exceptional full-remote considered)</w:t>
      </w:r>
    </w:p>
    <w:p w14:paraId="23C9B795" w14:textId="77777777" w:rsidR="006269B7" w:rsidRPr="006269B7" w:rsidRDefault="006269B7" w:rsidP="006269B7">
      <w:r w:rsidRPr="006269B7">
        <w:rPr>
          <w:b/>
          <w:bCs/>
        </w:rPr>
        <w:t>Job Summary</w:t>
      </w:r>
      <w:r w:rsidRPr="006269B7">
        <w:br/>
        <w:t>Alkermes is seeking an experienced Senior Manager, Medical Writing, to independently author, manage, and deliver high-quality clinical and regulatory documents that drive our neuroscience and psychiatry portfolio forward. Reporting into Clinical Development, you will provide strategic input on submission strategy, lead process improvements, and oversee external writing resources to ensure data accuracy and message consistency across all programs.</w:t>
      </w:r>
    </w:p>
    <w:p w14:paraId="0C949FAE" w14:textId="77777777" w:rsidR="006269B7" w:rsidRPr="006269B7" w:rsidRDefault="006269B7" w:rsidP="006269B7">
      <w:r w:rsidRPr="006269B7">
        <w:rPr>
          <w:b/>
          <w:bCs/>
        </w:rPr>
        <w:t>Key Responsibilities</w:t>
      </w:r>
    </w:p>
    <w:p w14:paraId="3CBE93CD" w14:textId="77777777" w:rsidR="006269B7" w:rsidRPr="006269B7" w:rsidRDefault="006269B7" w:rsidP="006269B7">
      <w:pPr>
        <w:numPr>
          <w:ilvl w:val="0"/>
          <w:numId w:val="1"/>
        </w:numPr>
      </w:pPr>
      <w:r w:rsidRPr="006269B7">
        <w:t>Independently author and manage protocols, amendments, clinical study reports (CSRs), investigator brochures (IBs), and clinical sections of regulatory submissions across all development phases.</w:t>
      </w:r>
    </w:p>
    <w:p w14:paraId="76390526" w14:textId="77777777" w:rsidR="006269B7" w:rsidRPr="006269B7" w:rsidRDefault="006269B7" w:rsidP="006269B7">
      <w:pPr>
        <w:numPr>
          <w:ilvl w:val="0"/>
          <w:numId w:val="1"/>
        </w:numPr>
      </w:pPr>
      <w:r w:rsidRPr="006269B7">
        <w:t>Partner cross-functionally with Biostatistics, Clinical Operations, Clinical Research, Regulatory Affairs, and other functions to align messaging and verify data integrity.</w:t>
      </w:r>
    </w:p>
    <w:p w14:paraId="04876F4E" w14:textId="77777777" w:rsidR="006269B7" w:rsidRPr="006269B7" w:rsidRDefault="006269B7" w:rsidP="006269B7">
      <w:pPr>
        <w:numPr>
          <w:ilvl w:val="0"/>
          <w:numId w:val="1"/>
        </w:numPr>
      </w:pPr>
      <w:r w:rsidRPr="006269B7">
        <w:t>Oversee contract writers and CRO partners, setting expectations, reviewing deliverables, and ensuring adherence to timelines and quality standards.</w:t>
      </w:r>
    </w:p>
    <w:p w14:paraId="5AC5B769" w14:textId="77777777" w:rsidR="006269B7" w:rsidRPr="006269B7" w:rsidRDefault="006269B7" w:rsidP="006269B7">
      <w:pPr>
        <w:numPr>
          <w:ilvl w:val="0"/>
          <w:numId w:val="1"/>
        </w:numPr>
      </w:pPr>
      <w:r w:rsidRPr="006269B7">
        <w:t>Drive continual process improvement by developing and maintaining templates, style guides, and best-practice documentation standards.</w:t>
      </w:r>
    </w:p>
    <w:p w14:paraId="6E1A1A32" w14:textId="77777777" w:rsidR="006269B7" w:rsidRPr="006269B7" w:rsidRDefault="006269B7" w:rsidP="006269B7">
      <w:pPr>
        <w:numPr>
          <w:ilvl w:val="0"/>
          <w:numId w:val="1"/>
        </w:numPr>
      </w:pPr>
      <w:r w:rsidRPr="006269B7">
        <w:t>Provide project-management oversight for multiple concurrent programs, proactively identifying risks and driving corrective actions.</w:t>
      </w:r>
    </w:p>
    <w:p w14:paraId="7A6BF54F" w14:textId="77777777" w:rsidR="006269B7" w:rsidRPr="006269B7" w:rsidRDefault="006269B7" w:rsidP="006269B7">
      <w:pPr>
        <w:numPr>
          <w:ilvl w:val="0"/>
          <w:numId w:val="1"/>
        </w:numPr>
      </w:pPr>
      <w:r w:rsidRPr="006269B7">
        <w:t>Contribute strategic insight to clinical-development planning sessions regarding document planning, content structure, and submission readiness.</w:t>
      </w:r>
    </w:p>
    <w:p w14:paraId="1AAECF5D" w14:textId="77777777" w:rsidR="006269B7" w:rsidRPr="006269B7" w:rsidRDefault="006269B7" w:rsidP="006269B7">
      <w:pPr>
        <w:numPr>
          <w:ilvl w:val="0"/>
          <w:numId w:val="1"/>
        </w:numPr>
      </w:pPr>
      <w:r w:rsidRPr="006269B7">
        <w:t>Serve as a subject-matter resource on ICH, GCP, and global regulatory requirements for internal stakeholders.</w:t>
      </w:r>
    </w:p>
    <w:p w14:paraId="3F55D969" w14:textId="77777777" w:rsidR="006269B7" w:rsidRPr="006269B7" w:rsidRDefault="006269B7" w:rsidP="006269B7">
      <w:r w:rsidRPr="006269B7">
        <w:rPr>
          <w:b/>
          <w:bCs/>
        </w:rPr>
        <w:t>Required Qualifications</w:t>
      </w:r>
    </w:p>
    <w:p w14:paraId="5B825494" w14:textId="77777777" w:rsidR="006269B7" w:rsidRPr="006269B7" w:rsidRDefault="006269B7" w:rsidP="006269B7">
      <w:pPr>
        <w:numPr>
          <w:ilvl w:val="0"/>
          <w:numId w:val="2"/>
        </w:numPr>
      </w:pPr>
      <w:r w:rsidRPr="006269B7">
        <w:t xml:space="preserve">Advanced </w:t>
      </w:r>
      <w:proofErr w:type="gramStart"/>
      <w:r w:rsidRPr="006269B7">
        <w:t>degree</w:t>
      </w:r>
      <w:proofErr w:type="gramEnd"/>
      <w:r w:rsidRPr="006269B7">
        <w:t xml:space="preserve"> (MS, MPH, PhD, PharmD) in life sciences.</w:t>
      </w:r>
    </w:p>
    <w:p w14:paraId="31F39DE3" w14:textId="77777777" w:rsidR="006269B7" w:rsidRPr="006269B7" w:rsidRDefault="006269B7" w:rsidP="006269B7">
      <w:pPr>
        <w:numPr>
          <w:ilvl w:val="0"/>
          <w:numId w:val="2"/>
        </w:numPr>
      </w:pPr>
      <w:r w:rsidRPr="006269B7">
        <w:t>Minimum 5 years of clinical-research medical-writing experience, including protocol and CSR authorship.</w:t>
      </w:r>
    </w:p>
    <w:p w14:paraId="69FCEB6C" w14:textId="77777777" w:rsidR="006269B7" w:rsidRPr="006269B7" w:rsidRDefault="006269B7" w:rsidP="006269B7">
      <w:pPr>
        <w:numPr>
          <w:ilvl w:val="0"/>
          <w:numId w:val="2"/>
        </w:numPr>
      </w:pPr>
      <w:r w:rsidRPr="006269B7">
        <w:lastRenderedPageBreak/>
        <w:t>Demonstrated mastery of ICH guidelines, GCP, and global regulatory submission standards.</w:t>
      </w:r>
    </w:p>
    <w:p w14:paraId="26E085E6" w14:textId="77777777" w:rsidR="006269B7" w:rsidRPr="006269B7" w:rsidRDefault="006269B7" w:rsidP="006269B7">
      <w:pPr>
        <w:numPr>
          <w:ilvl w:val="0"/>
          <w:numId w:val="2"/>
        </w:numPr>
      </w:pPr>
      <w:r w:rsidRPr="006269B7">
        <w:t>Proven ability to influence and collaborate across diverse, matrixed teams.</w:t>
      </w:r>
    </w:p>
    <w:p w14:paraId="0E7D7F1B" w14:textId="77777777" w:rsidR="006269B7" w:rsidRPr="006269B7" w:rsidRDefault="006269B7" w:rsidP="006269B7">
      <w:pPr>
        <w:numPr>
          <w:ilvl w:val="0"/>
          <w:numId w:val="2"/>
        </w:numPr>
      </w:pPr>
      <w:r w:rsidRPr="006269B7">
        <w:t>Proficiency with document-management systems (e.g., Veeva Vault) and the Microsoft Office suite.</w:t>
      </w:r>
    </w:p>
    <w:p w14:paraId="7F81EB46" w14:textId="77777777" w:rsidR="006269B7" w:rsidRPr="006269B7" w:rsidRDefault="006269B7" w:rsidP="006269B7">
      <w:r w:rsidRPr="006269B7">
        <w:rPr>
          <w:b/>
          <w:bCs/>
        </w:rPr>
        <w:t>Preferred Qualifications</w:t>
      </w:r>
    </w:p>
    <w:p w14:paraId="362BCCAC" w14:textId="77777777" w:rsidR="006269B7" w:rsidRPr="006269B7" w:rsidRDefault="006269B7" w:rsidP="006269B7">
      <w:pPr>
        <w:numPr>
          <w:ilvl w:val="0"/>
          <w:numId w:val="3"/>
        </w:numPr>
      </w:pPr>
      <w:r w:rsidRPr="006269B7">
        <w:t>Experience in neuroscience and/or psychiatry therapeutic areas.</w:t>
      </w:r>
    </w:p>
    <w:p w14:paraId="4957C038" w14:textId="77777777" w:rsidR="006269B7" w:rsidRPr="006269B7" w:rsidRDefault="006269B7" w:rsidP="006269B7">
      <w:pPr>
        <w:numPr>
          <w:ilvl w:val="0"/>
          <w:numId w:val="3"/>
        </w:numPr>
      </w:pPr>
      <w:r w:rsidRPr="006269B7">
        <w:t>Prior leadership of outsourced writing vendors or geographically distributed teams.</w:t>
      </w:r>
    </w:p>
    <w:p w14:paraId="46760719" w14:textId="77777777" w:rsidR="006269B7" w:rsidRPr="006269B7" w:rsidRDefault="006269B7" w:rsidP="006269B7">
      <w:r w:rsidRPr="006269B7">
        <w:rPr>
          <w:b/>
          <w:bCs/>
        </w:rPr>
        <w:t>Compensation Range</w:t>
      </w:r>
      <w:r w:rsidRPr="006269B7">
        <w:br/>
        <w:t>Target base salary $165,000 – $175,000 per year, plus annual performance bonus, equity eligibility, and comprehensive benefits. (Roles above $190,000 base are outside budget parameters.)</w:t>
      </w:r>
    </w:p>
    <w:p w14:paraId="38FB335B" w14:textId="77777777" w:rsidR="006269B7" w:rsidRPr="006269B7" w:rsidRDefault="006269B7" w:rsidP="006269B7">
      <w:r w:rsidRPr="006269B7">
        <w:rPr>
          <w:b/>
          <w:bCs/>
        </w:rPr>
        <w:t>Work Environment</w:t>
      </w:r>
      <w:r w:rsidRPr="006269B7">
        <w:br/>
        <w:t>Alkermes operates a hybrid work model, requiring a minimum of three days onsite in Waltham each week; remote arrangements (minimum two days onsite or fully remote) may be considered for highly qualified candidates.</w:t>
      </w:r>
    </w:p>
    <w:p w14:paraId="54E1ADD0" w14:textId="77777777" w:rsidR="003E5CA4" w:rsidRDefault="003E5CA4"/>
    <w:sectPr w:rsidR="003E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AE6"/>
    <w:multiLevelType w:val="multilevel"/>
    <w:tmpl w:val="E68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E2C83"/>
    <w:multiLevelType w:val="multilevel"/>
    <w:tmpl w:val="9D1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45CD5"/>
    <w:multiLevelType w:val="multilevel"/>
    <w:tmpl w:val="593A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602487">
    <w:abstractNumId w:val="0"/>
  </w:num>
  <w:num w:numId="2" w16cid:durableId="1509902126">
    <w:abstractNumId w:val="1"/>
  </w:num>
  <w:num w:numId="3" w16cid:durableId="1952979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B7"/>
    <w:rsid w:val="001D4820"/>
    <w:rsid w:val="003E5CA4"/>
    <w:rsid w:val="0059008A"/>
    <w:rsid w:val="006269B7"/>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0C709"/>
  <w15:chartTrackingRefBased/>
  <w15:docId w15:val="{AB7F5AAA-E057-48C7-81E7-60343D56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9B7"/>
    <w:rPr>
      <w:rFonts w:eastAsiaTheme="majorEastAsia" w:cstheme="majorBidi"/>
      <w:color w:val="272727" w:themeColor="text1" w:themeTint="D8"/>
    </w:rPr>
  </w:style>
  <w:style w:type="paragraph" w:styleId="Title">
    <w:name w:val="Title"/>
    <w:basedOn w:val="Normal"/>
    <w:next w:val="Normal"/>
    <w:link w:val="TitleChar"/>
    <w:uiPriority w:val="10"/>
    <w:qFormat/>
    <w:rsid w:val="00626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9B7"/>
    <w:pPr>
      <w:spacing w:before="160"/>
      <w:jc w:val="center"/>
    </w:pPr>
    <w:rPr>
      <w:i/>
      <w:iCs/>
      <w:color w:val="404040" w:themeColor="text1" w:themeTint="BF"/>
    </w:rPr>
  </w:style>
  <w:style w:type="character" w:customStyle="1" w:styleId="QuoteChar">
    <w:name w:val="Quote Char"/>
    <w:basedOn w:val="DefaultParagraphFont"/>
    <w:link w:val="Quote"/>
    <w:uiPriority w:val="29"/>
    <w:rsid w:val="006269B7"/>
    <w:rPr>
      <w:i/>
      <w:iCs/>
      <w:color w:val="404040" w:themeColor="text1" w:themeTint="BF"/>
    </w:rPr>
  </w:style>
  <w:style w:type="paragraph" w:styleId="ListParagraph">
    <w:name w:val="List Paragraph"/>
    <w:basedOn w:val="Normal"/>
    <w:uiPriority w:val="34"/>
    <w:qFormat/>
    <w:rsid w:val="006269B7"/>
    <w:pPr>
      <w:ind w:left="720"/>
      <w:contextualSpacing/>
    </w:pPr>
  </w:style>
  <w:style w:type="character" w:styleId="IntenseEmphasis">
    <w:name w:val="Intense Emphasis"/>
    <w:basedOn w:val="DefaultParagraphFont"/>
    <w:uiPriority w:val="21"/>
    <w:qFormat/>
    <w:rsid w:val="006269B7"/>
    <w:rPr>
      <w:i/>
      <w:iCs/>
      <w:color w:val="0F4761" w:themeColor="accent1" w:themeShade="BF"/>
    </w:rPr>
  </w:style>
  <w:style w:type="paragraph" w:styleId="IntenseQuote">
    <w:name w:val="Intense Quote"/>
    <w:basedOn w:val="Normal"/>
    <w:next w:val="Normal"/>
    <w:link w:val="IntenseQuoteChar"/>
    <w:uiPriority w:val="30"/>
    <w:qFormat/>
    <w:rsid w:val="00626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9B7"/>
    <w:rPr>
      <w:i/>
      <w:iCs/>
      <w:color w:val="0F4761" w:themeColor="accent1" w:themeShade="BF"/>
    </w:rPr>
  </w:style>
  <w:style w:type="character" w:styleId="IntenseReference">
    <w:name w:val="Intense Reference"/>
    <w:basedOn w:val="DefaultParagraphFont"/>
    <w:uiPriority w:val="32"/>
    <w:qFormat/>
    <w:rsid w:val="006269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20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338</Words>
  <Characters>2400</Characters>
  <Application>Microsoft Office Word</Application>
  <DocSecurity>0</DocSecurity>
  <Lines>47</Lines>
  <Paragraphs>20</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2025-07-22T14:36:00Z</dcterms:created>
  <dcterms:modified xsi:type="dcterms:W3CDTF">2025-07-22T14:38:00Z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f1c9d7e5-08f9-4a49-a282-037f45f7a5f7</vt:lpwstr>
  </property>
</Properties>
</file>