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4DC87" w14:textId="77777777" w:rsidR="00997CEF" w:rsidRPr="00997CEF" w:rsidRDefault="00997CEF" w:rsidP="00997CEF">
      <w:pPr>
        <w:spacing w:after="0" w:line="240" w:lineRule="auto"/>
        <w:rPr>
          <w:rFonts w:ascii="Calibri" w:eastAsia="Times New Roman" w:hAnsi="Calibri" w:cs="Calibri"/>
          <w:b/>
          <w:bCs/>
          <w:color w:val="333333"/>
          <w:kern w:val="0"/>
          <w:sz w:val="22"/>
          <w:szCs w:val="22"/>
          <w14:ligatures w14:val="none"/>
        </w:rPr>
      </w:pPr>
    </w:p>
    <w:p w14:paraId="1A8DF217" w14:textId="540385E9" w:rsidR="00997CEF" w:rsidRPr="00997CEF" w:rsidRDefault="00997CEF" w:rsidP="00997CEF">
      <w:pPr>
        <w:spacing w:after="0" w:line="240" w:lineRule="auto"/>
        <w:rPr>
          <w:rFonts w:ascii="Times New Roman" w:eastAsia="Times New Roman" w:hAnsi="Times New Roman" w:cs="Times New Roman"/>
          <w:kern w:val="0"/>
          <w14:ligatures w14:val="none"/>
        </w:rPr>
      </w:pPr>
      <w:proofErr w:type="spellStart"/>
      <w:r w:rsidRPr="00997CEF">
        <w:rPr>
          <w:rFonts w:ascii="Calibri" w:eastAsia="Times New Roman" w:hAnsi="Calibri" w:cs="Calibri"/>
          <w:b/>
          <w:bCs/>
          <w:color w:val="333333"/>
          <w:kern w:val="0"/>
          <w:sz w:val="22"/>
          <w:szCs w:val="22"/>
          <w14:ligatures w14:val="none"/>
        </w:rPr>
        <w:t>Kiniksa</w:t>
      </w:r>
      <w:proofErr w:type="spellEnd"/>
      <w:r w:rsidRPr="00997CEF">
        <w:rPr>
          <w:rFonts w:ascii="Calibri" w:eastAsia="Times New Roman" w:hAnsi="Calibri" w:cs="Calibri"/>
          <w:b/>
          <w:bCs/>
          <w:color w:val="333333"/>
          <w:kern w:val="0"/>
          <w:sz w:val="22"/>
          <w:szCs w:val="22"/>
          <w14:ligatures w14:val="none"/>
        </w:rPr>
        <w:t xml:space="preserve"> Pharmaceuticals </w:t>
      </w:r>
      <w:r>
        <w:rPr>
          <w:rFonts w:ascii="Calibri" w:eastAsia="Times New Roman" w:hAnsi="Calibri" w:cs="Calibri"/>
          <w:b/>
          <w:bCs/>
          <w:color w:val="333333"/>
          <w:kern w:val="0"/>
          <w:sz w:val="22"/>
          <w:szCs w:val="22"/>
          <w14:ligatures w14:val="none"/>
        </w:rPr>
        <w:t xml:space="preserve">- </w:t>
      </w:r>
      <w:r w:rsidRPr="00997CEF">
        <w:rPr>
          <w:rFonts w:ascii="Calibri" w:eastAsia="Times New Roman" w:hAnsi="Calibri" w:cs="Calibri"/>
          <w:b/>
          <w:bCs/>
          <w:color w:val="333333"/>
          <w:kern w:val="0"/>
          <w:sz w:val="22"/>
          <w:szCs w:val="22"/>
          <w14:ligatures w14:val="none"/>
        </w:rPr>
        <w:t>Senior Director, Analytical Sciences and Quality Testing</w:t>
      </w:r>
      <w:r w:rsidRPr="00997CEF">
        <w:rPr>
          <w:rFonts w:ascii="Montserrat" w:eastAsia="Times New Roman" w:hAnsi="Montserrat" w:cs="Times New Roman"/>
          <w:color w:val="333333"/>
          <w:kern w:val="0"/>
          <w:sz w:val="20"/>
          <w:szCs w:val="20"/>
          <w14:ligatures w14:val="none"/>
        </w:rPr>
        <w:br/>
      </w:r>
      <w:r w:rsidRPr="00997CEF">
        <w:rPr>
          <w:rFonts w:ascii="Montserrat" w:eastAsia="Times New Roman" w:hAnsi="Montserrat" w:cs="Times New Roman"/>
          <w:color w:val="333333"/>
          <w:kern w:val="0"/>
          <w:sz w:val="20"/>
          <w:szCs w:val="20"/>
          <w14:ligatures w14:val="none"/>
        </w:rPr>
        <w:br/>
      </w:r>
      <w:r w:rsidRPr="00997CEF">
        <w:rPr>
          <w:rFonts w:ascii="Calibri" w:eastAsia="Times New Roman" w:hAnsi="Calibri" w:cs="Calibri"/>
          <w:color w:val="333333"/>
          <w:kern w:val="0"/>
          <w:sz w:val="22"/>
          <w:szCs w:val="22"/>
          <w14:ligatures w14:val="none"/>
        </w:rPr>
        <w:t>Reporting to the Senior Vice President of Technical Operations, the Senior Director of Analytical Sciences and Quality Testing (ASQT) will lead the ASQT team within Technical Operations and be responsible for establishing overall analytical strategies, analytical method development, method qualification, method validation, method transfer, early-stage testing, CQA and product characterization; comparability strategies and analytical control strategies; authoring and reviewing regulatory submission and participating in interactions with Health Authorities; and mentoring, managing and inspiring staff in the ASQT team.</w:t>
      </w:r>
      <w:r w:rsidRPr="00997CEF">
        <w:rPr>
          <w:rFonts w:ascii="Montserrat" w:eastAsia="Times New Roman" w:hAnsi="Montserrat" w:cs="Times New Roman"/>
          <w:color w:val="333333"/>
          <w:kern w:val="0"/>
          <w:sz w:val="20"/>
          <w:szCs w:val="20"/>
          <w14:ligatures w14:val="none"/>
        </w:rPr>
        <w:br/>
      </w:r>
      <w:r w:rsidRPr="00997CEF">
        <w:rPr>
          <w:rFonts w:ascii="Montserrat" w:eastAsia="Times New Roman" w:hAnsi="Montserrat" w:cs="Times New Roman"/>
          <w:color w:val="333333"/>
          <w:kern w:val="0"/>
          <w:sz w:val="20"/>
          <w:szCs w:val="20"/>
          <w14:ligatures w14:val="none"/>
        </w:rPr>
        <w:br/>
      </w:r>
      <w:r w:rsidRPr="00997CEF">
        <w:rPr>
          <w:rFonts w:ascii="Calibri" w:eastAsia="Times New Roman" w:hAnsi="Calibri" w:cs="Calibri"/>
          <w:color w:val="333333"/>
          <w:kern w:val="0"/>
          <w:sz w:val="22"/>
          <w:szCs w:val="22"/>
          <w14:ligatures w14:val="none"/>
        </w:rPr>
        <w:t>This is a leadership role in both the product development and the organization. The role requires strong technical expertise, passion, strategic thinking, and collaboration with internal and external teams, including Process Development, Manufacturing, Quality, Regulatory, Facility, partners, and vendors. The individual will serve as a collaborator and a scientific and technical leader on a variety of teams within the company and will represent the company in the same roles during interactions with regulatory agencies, partners, and vendors.</w:t>
      </w:r>
      <w:r w:rsidRPr="00997CEF">
        <w:rPr>
          <w:rFonts w:ascii="Montserrat" w:eastAsia="Times New Roman" w:hAnsi="Montserrat" w:cs="Times New Roman"/>
          <w:color w:val="333333"/>
          <w:kern w:val="0"/>
          <w:sz w:val="20"/>
          <w:szCs w:val="20"/>
          <w14:ligatures w14:val="none"/>
        </w:rPr>
        <w:br/>
      </w:r>
      <w:r w:rsidRPr="00997CEF">
        <w:rPr>
          <w:rFonts w:ascii="Calibri" w:eastAsia="Times New Roman" w:hAnsi="Calibri" w:cs="Calibri"/>
          <w:color w:val="333333"/>
          <w:kern w:val="0"/>
          <w:sz w:val="22"/>
          <w:szCs w:val="22"/>
          <w14:ligatures w14:val="none"/>
        </w:rPr>
        <w:t>This role is based in our MA office. Our office-based employees follow a hybrid schedule of 4 days in the office, and 1 day remote.</w:t>
      </w:r>
      <w:r w:rsidRPr="00997CEF">
        <w:rPr>
          <w:rFonts w:ascii="Montserrat" w:eastAsia="Times New Roman" w:hAnsi="Montserrat" w:cs="Times New Roman"/>
          <w:color w:val="333333"/>
          <w:kern w:val="0"/>
          <w:sz w:val="20"/>
          <w:szCs w:val="20"/>
          <w14:ligatures w14:val="none"/>
        </w:rPr>
        <w:br/>
      </w:r>
      <w:r w:rsidRPr="00997CEF">
        <w:rPr>
          <w:rFonts w:ascii="Calibri" w:eastAsia="Times New Roman" w:hAnsi="Calibri" w:cs="Calibri"/>
          <w:b/>
          <w:bCs/>
          <w:color w:val="333333"/>
          <w:kern w:val="0"/>
          <w:sz w:val="22"/>
          <w:szCs w:val="22"/>
          <w14:ligatures w14:val="none"/>
        </w:rPr>
        <w:t>Responsibilities </w:t>
      </w:r>
      <w:r w:rsidRPr="00997CEF">
        <w:rPr>
          <w:rFonts w:ascii="Calibri" w:eastAsia="Times New Roman" w:hAnsi="Calibri" w:cs="Calibri"/>
          <w:b/>
          <w:bCs/>
          <w:i/>
          <w:iCs/>
          <w:color w:val="333333"/>
          <w:kern w:val="0"/>
          <w:sz w:val="22"/>
          <w:szCs w:val="22"/>
          <w14:ligatures w14:val="none"/>
        </w:rPr>
        <w:t>(including, but not limited to)</w:t>
      </w:r>
      <w:r w:rsidRPr="00997CEF">
        <w:rPr>
          <w:rFonts w:ascii="Calibri" w:eastAsia="Times New Roman" w:hAnsi="Calibri" w:cs="Calibri"/>
          <w:b/>
          <w:bCs/>
          <w:color w:val="333333"/>
          <w:kern w:val="0"/>
          <w:sz w:val="22"/>
          <w:szCs w:val="22"/>
          <w14:ligatures w14:val="none"/>
        </w:rPr>
        <w:t>:</w:t>
      </w:r>
    </w:p>
    <w:p w14:paraId="528D252F"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Lead, manage, mentor, and inspire the ASQT </w:t>
      </w:r>
      <w:proofErr w:type="gramStart"/>
      <w:r w:rsidRPr="00997CEF">
        <w:rPr>
          <w:rFonts w:ascii="Calibri" w:eastAsia="Times New Roman" w:hAnsi="Calibri" w:cs="Calibri"/>
          <w:color w:val="333333"/>
          <w:kern w:val="0"/>
          <w:sz w:val="22"/>
          <w:szCs w:val="22"/>
          <w14:ligatures w14:val="none"/>
        </w:rPr>
        <w:t>team</w:t>
      </w:r>
      <w:proofErr w:type="gramEnd"/>
    </w:p>
    <w:p w14:paraId="0BD86B32"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Own the ASQT budgets associated with projects, capital equipment and staffing (internal and consultants)</w:t>
      </w:r>
    </w:p>
    <w:p w14:paraId="08951EF4"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Establish overall analytical strategies, including analytical development plans, comparability strategies and analytical control </w:t>
      </w:r>
      <w:proofErr w:type="gramStart"/>
      <w:r w:rsidRPr="00997CEF">
        <w:rPr>
          <w:rFonts w:ascii="Calibri" w:eastAsia="Times New Roman" w:hAnsi="Calibri" w:cs="Calibri"/>
          <w:color w:val="333333"/>
          <w:kern w:val="0"/>
          <w:sz w:val="22"/>
          <w:szCs w:val="22"/>
          <w14:ligatures w14:val="none"/>
        </w:rPr>
        <w:t>strategies</w:t>
      </w:r>
      <w:proofErr w:type="gramEnd"/>
    </w:p>
    <w:p w14:paraId="5BD13C8C"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Lead analytical method development, optimization, transfer, qualification, and validation. Product characterization. CQA and analytical control strategy. Product specifications. Comparability. Early-stage analytical testing (cGMP and non-GMP)</w:t>
      </w:r>
    </w:p>
    <w:p w14:paraId="050CB2C3"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Maintains current state-of-the-art practices and methods according to industry standards and regulatory </w:t>
      </w:r>
      <w:proofErr w:type="gramStart"/>
      <w:r w:rsidRPr="00997CEF">
        <w:rPr>
          <w:rFonts w:ascii="Calibri" w:eastAsia="Times New Roman" w:hAnsi="Calibri" w:cs="Calibri"/>
          <w:color w:val="333333"/>
          <w:kern w:val="0"/>
          <w:sz w:val="22"/>
          <w:szCs w:val="22"/>
          <w14:ligatures w14:val="none"/>
        </w:rPr>
        <w:t>guidelines</w:t>
      </w:r>
      <w:proofErr w:type="gramEnd"/>
    </w:p>
    <w:p w14:paraId="53328588"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Author and review regulatory </w:t>
      </w:r>
      <w:proofErr w:type="gramStart"/>
      <w:r w:rsidRPr="00997CEF">
        <w:rPr>
          <w:rFonts w:ascii="Calibri" w:eastAsia="Times New Roman" w:hAnsi="Calibri" w:cs="Calibri"/>
          <w:color w:val="333333"/>
          <w:kern w:val="0"/>
          <w:sz w:val="22"/>
          <w:szCs w:val="22"/>
          <w14:ligatures w14:val="none"/>
        </w:rPr>
        <w:t>submissions</w:t>
      </w:r>
      <w:proofErr w:type="gramEnd"/>
    </w:p>
    <w:p w14:paraId="54399011"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Represent ASQT in project teams, product development teams, company initiative task forces, and collaborations with </w:t>
      </w:r>
      <w:proofErr w:type="gramStart"/>
      <w:r w:rsidRPr="00997CEF">
        <w:rPr>
          <w:rFonts w:ascii="Calibri" w:eastAsia="Times New Roman" w:hAnsi="Calibri" w:cs="Calibri"/>
          <w:color w:val="333333"/>
          <w:kern w:val="0"/>
          <w:sz w:val="22"/>
          <w:szCs w:val="22"/>
          <w14:ligatures w14:val="none"/>
        </w:rPr>
        <w:t>partners</w:t>
      </w:r>
      <w:proofErr w:type="gramEnd"/>
    </w:p>
    <w:p w14:paraId="3F58B7F7"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Oversee the review and approval of analytical laboratory documentation, including (but not limited to) technical reports, method transfer/qualification/validation protocols and reports, investigation protocols and reports, stability protocols, certificates of testing/</w:t>
      </w:r>
      <w:proofErr w:type="gramStart"/>
      <w:r w:rsidRPr="00997CEF">
        <w:rPr>
          <w:rFonts w:ascii="Calibri" w:eastAsia="Times New Roman" w:hAnsi="Calibri" w:cs="Calibri"/>
          <w:color w:val="333333"/>
          <w:kern w:val="0"/>
          <w:sz w:val="22"/>
          <w:szCs w:val="22"/>
          <w14:ligatures w14:val="none"/>
        </w:rPr>
        <w:t>analysis</w:t>
      </w:r>
      <w:proofErr w:type="gramEnd"/>
    </w:p>
    <w:p w14:paraId="499645C3"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Oversee the review and approval of manufacturing batch records with respect to sampling plans and analytical </w:t>
      </w:r>
      <w:proofErr w:type="gramStart"/>
      <w:r w:rsidRPr="00997CEF">
        <w:rPr>
          <w:rFonts w:ascii="Calibri" w:eastAsia="Times New Roman" w:hAnsi="Calibri" w:cs="Calibri"/>
          <w:color w:val="333333"/>
          <w:kern w:val="0"/>
          <w:sz w:val="22"/>
          <w:szCs w:val="22"/>
          <w14:ligatures w14:val="none"/>
        </w:rPr>
        <w:t>testing</w:t>
      </w:r>
      <w:proofErr w:type="gramEnd"/>
    </w:p>
    <w:p w14:paraId="24FF2B2C"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Establish goals, design experiments, analyze and review data, recommend and plan actions to achieve project objectives, including establishing and assuring adherence to schedules, work plans and performance </w:t>
      </w:r>
      <w:proofErr w:type="gramStart"/>
      <w:r w:rsidRPr="00997CEF">
        <w:rPr>
          <w:rFonts w:ascii="Calibri" w:eastAsia="Times New Roman" w:hAnsi="Calibri" w:cs="Calibri"/>
          <w:color w:val="333333"/>
          <w:kern w:val="0"/>
          <w:sz w:val="22"/>
          <w:szCs w:val="22"/>
          <w14:ligatures w14:val="none"/>
        </w:rPr>
        <w:t>requirements</w:t>
      </w:r>
      <w:proofErr w:type="gramEnd"/>
    </w:p>
    <w:p w14:paraId="6C280EF3"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Support the evaluation and selection of contract facilities, including request for proposals, review of proposals, and assessment of contract analytical and manufacturing </w:t>
      </w:r>
      <w:proofErr w:type="gramStart"/>
      <w:r w:rsidRPr="00997CEF">
        <w:rPr>
          <w:rFonts w:ascii="Calibri" w:eastAsia="Times New Roman" w:hAnsi="Calibri" w:cs="Calibri"/>
          <w:color w:val="333333"/>
          <w:kern w:val="0"/>
          <w:sz w:val="22"/>
          <w:szCs w:val="22"/>
          <w14:ligatures w14:val="none"/>
        </w:rPr>
        <w:t>organizations</w:t>
      </w:r>
      <w:proofErr w:type="gramEnd"/>
    </w:p>
    <w:p w14:paraId="57D2638E"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Provides scientific/technical guidance, leadership, and decision-making across the company, including non-analytical functions, as </w:t>
      </w:r>
      <w:proofErr w:type="gramStart"/>
      <w:r w:rsidRPr="00997CEF">
        <w:rPr>
          <w:rFonts w:ascii="Calibri" w:eastAsia="Times New Roman" w:hAnsi="Calibri" w:cs="Calibri"/>
          <w:color w:val="333333"/>
          <w:kern w:val="0"/>
          <w:sz w:val="22"/>
          <w:szCs w:val="22"/>
          <w14:ligatures w14:val="none"/>
        </w:rPr>
        <w:t>appropriate</w:t>
      </w:r>
      <w:proofErr w:type="gramEnd"/>
    </w:p>
    <w:p w14:paraId="3D42325A"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Regularly interact with senior management as </w:t>
      </w:r>
      <w:proofErr w:type="gramStart"/>
      <w:r w:rsidRPr="00997CEF">
        <w:rPr>
          <w:rFonts w:ascii="Calibri" w:eastAsia="Times New Roman" w:hAnsi="Calibri" w:cs="Calibri"/>
          <w:color w:val="333333"/>
          <w:kern w:val="0"/>
          <w:sz w:val="22"/>
          <w:szCs w:val="22"/>
          <w14:ligatures w14:val="none"/>
        </w:rPr>
        <w:t>required</w:t>
      </w:r>
      <w:proofErr w:type="gramEnd"/>
    </w:p>
    <w:p w14:paraId="2F927286" w14:textId="77777777" w:rsidR="00997CEF" w:rsidRPr="00997CEF" w:rsidRDefault="00997CEF" w:rsidP="00997CEF">
      <w:pPr>
        <w:numPr>
          <w:ilvl w:val="0"/>
          <w:numId w:val="1"/>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Support due diligence as </w:t>
      </w:r>
      <w:proofErr w:type="gramStart"/>
      <w:r w:rsidRPr="00997CEF">
        <w:rPr>
          <w:rFonts w:ascii="Calibri" w:eastAsia="Times New Roman" w:hAnsi="Calibri" w:cs="Calibri"/>
          <w:color w:val="333333"/>
          <w:kern w:val="0"/>
          <w:sz w:val="22"/>
          <w:szCs w:val="22"/>
          <w14:ligatures w14:val="none"/>
        </w:rPr>
        <w:t>required</w:t>
      </w:r>
      <w:proofErr w:type="gramEnd"/>
    </w:p>
    <w:p w14:paraId="204051A1" w14:textId="77777777" w:rsidR="00997CEF" w:rsidRPr="00997CEF" w:rsidRDefault="00997CEF" w:rsidP="00997CEF">
      <w:pPr>
        <w:spacing w:after="0" w:line="240" w:lineRule="auto"/>
        <w:rPr>
          <w:rFonts w:ascii="Times New Roman" w:eastAsia="Times New Roman" w:hAnsi="Times New Roman" w:cs="Times New Roman"/>
          <w:kern w:val="0"/>
          <w14:ligatures w14:val="none"/>
        </w:rPr>
      </w:pPr>
      <w:r w:rsidRPr="00997CEF">
        <w:rPr>
          <w:rFonts w:ascii="Calibri" w:eastAsia="Times New Roman" w:hAnsi="Calibri" w:cs="Calibri"/>
          <w:b/>
          <w:bCs/>
          <w:color w:val="333333"/>
          <w:kern w:val="0"/>
          <w:sz w:val="22"/>
          <w:szCs w:val="22"/>
          <w14:ligatures w14:val="none"/>
        </w:rPr>
        <w:t>Qualifications:</w:t>
      </w:r>
    </w:p>
    <w:p w14:paraId="5E8843E2" w14:textId="77777777" w:rsidR="00997CEF" w:rsidRPr="00997CEF" w:rsidRDefault="00997CEF" w:rsidP="00997CEF">
      <w:pPr>
        <w:numPr>
          <w:ilvl w:val="0"/>
          <w:numId w:val="2"/>
        </w:numPr>
        <w:spacing w:after="0" w:line="240" w:lineRule="auto"/>
        <w:ind w:left="1440"/>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000000"/>
          <w:kern w:val="0"/>
          <w:sz w:val="22"/>
          <w:szCs w:val="22"/>
          <w:shd w:val="clear" w:color="auto" w:fill="FFFFFF"/>
          <w14:ligatures w14:val="none"/>
        </w:rPr>
        <w:lastRenderedPageBreak/>
        <w:t>Ph.D. with 10+ years, MS with 15+ years, or BS with 18+ years of relevant method experience</w:t>
      </w:r>
    </w:p>
    <w:p w14:paraId="2CA1305C" w14:textId="77777777" w:rsidR="00997CEF" w:rsidRPr="00997CEF" w:rsidRDefault="00997CEF" w:rsidP="00997CEF">
      <w:pPr>
        <w:numPr>
          <w:ilvl w:val="0"/>
          <w:numId w:val="2"/>
        </w:numPr>
        <w:spacing w:line="240" w:lineRule="auto"/>
        <w:ind w:left="1440"/>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000000"/>
          <w:kern w:val="0"/>
          <w:sz w:val="22"/>
          <w:szCs w:val="22"/>
          <w:shd w:val="clear" w:color="auto" w:fill="FFFFFF"/>
          <w14:ligatures w14:val="none"/>
        </w:rPr>
        <w:t xml:space="preserve">Degree in analytical chemistry, chemistry, biochemistry, pharmaceutical sciences, or related field </w:t>
      </w:r>
      <w:proofErr w:type="gramStart"/>
      <w:r w:rsidRPr="00997CEF">
        <w:rPr>
          <w:rFonts w:ascii="Calibri" w:eastAsia="Times New Roman" w:hAnsi="Calibri" w:cs="Calibri"/>
          <w:color w:val="000000"/>
          <w:kern w:val="0"/>
          <w:sz w:val="22"/>
          <w:szCs w:val="22"/>
          <w:shd w:val="clear" w:color="auto" w:fill="FFFFFF"/>
          <w14:ligatures w14:val="none"/>
        </w:rPr>
        <w:t>required</w:t>
      </w:r>
      <w:proofErr w:type="gramEnd"/>
    </w:p>
    <w:p w14:paraId="3EC90B8B"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A broad understanding of analytical strategies for large molecule drug substances and drug products, especially monoclonal antibody therapeutics</w:t>
      </w:r>
    </w:p>
    <w:p w14:paraId="41CCB055"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Demonstrated ability to manage test method </w:t>
      </w:r>
      <w:proofErr w:type="gramStart"/>
      <w:r w:rsidRPr="00997CEF">
        <w:rPr>
          <w:rFonts w:ascii="Calibri" w:eastAsia="Times New Roman" w:hAnsi="Calibri" w:cs="Calibri"/>
          <w:color w:val="333333"/>
          <w:kern w:val="0"/>
          <w:sz w:val="22"/>
          <w:szCs w:val="22"/>
          <w14:ligatures w14:val="none"/>
        </w:rPr>
        <w:t>transfer</w:t>
      </w:r>
      <w:proofErr w:type="gramEnd"/>
    </w:p>
    <w:p w14:paraId="649588BD"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Direct experience with analytical comparability and analytical control strategy</w:t>
      </w:r>
    </w:p>
    <w:p w14:paraId="57ABAF06"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Direct experience with analytical method development, validation, and stability evaluations</w:t>
      </w:r>
    </w:p>
    <w:p w14:paraId="70665663"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Demonstrated technical proficiency of analytical methodologies for release and stability </w:t>
      </w:r>
      <w:proofErr w:type="gramStart"/>
      <w:r w:rsidRPr="00997CEF">
        <w:rPr>
          <w:rFonts w:ascii="Calibri" w:eastAsia="Times New Roman" w:hAnsi="Calibri" w:cs="Calibri"/>
          <w:color w:val="333333"/>
          <w:kern w:val="0"/>
          <w:sz w:val="22"/>
          <w:szCs w:val="22"/>
          <w14:ligatures w14:val="none"/>
        </w:rPr>
        <w:t>testing</w:t>
      </w:r>
      <w:proofErr w:type="gramEnd"/>
    </w:p>
    <w:p w14:paraId="210D12AC"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Proven ability to lead in a team environment to solve complex technical </w:t>
      </w:r>
      <w:proofErr w:type="gramStart"/>
      <w:r w:rsidRPr="00997CEF">
        <w:rPr>
          <w:rFonts w:ascii="Calibri" w:eastAsia="Times New Roman" w:hAnsi="Calibri" w:cs="Calibri"/>
          <w:color w:val="333333"/>
          <w:kern w:val="0"/>
          <w:sz w:val="22"/>
          <w:szCs w:val="22"/>
          <w14:ligatures w14:val="none"/>
        </w:rPr>
        <w:t>challenges</w:t>
      </w:r>
      <w:proofErr w:type="gramEnd"/>
    </w:p>
    <w:p w14:paraId="0D9209F5"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Experienced with regulatory submission and regulatory requirements for protein </w:t>
      </w:r>
      <w:proofErr w:type="gramStart"/>
      <w:r w:rsidRPr="00997CEF">
        <w:rPr>
          <w:rFonts w:ascii="Calibri" w:eastAsia="Times New Roman" w:hAnsi="Calibri" w:cs="Calibri"/>
          <w:color w:val="333333"/>
          <w:kern w:val="0"/>
          <w:sz w:val="22"/>
          <w:szCs w:val="22"/>
          <w14:ligatures w14:val="none"/>
        </w:rPr>
        <w:t>therapeutics</w:t>
      </w:r>
      <w:proofErr w:type="gramEnd"/>
    </w:p>
    <w:p w14:paraId="3694BBB2"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Knowledge of relevant GMP and quality guidelines</w:t>
      </w:r>
    </w:p>
    <w:p w14:paraId="02F15E48"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Ability to effectively represent COMPANY with external </w:t>
      </w:r>
      <w:proofErr w:type="gramStart"/>
      <w:r w:rsidRPr="00997CEF">
        <w:rPr>
          <w:rFonts w:ascii="Calibri" w:eastAsia="Times New Roman" w:hAnsi="Calibri" w:cs="Calibri"/>
          <w:color w:val="333333"/>
          <w:kern w:val="0"/>
          <w:sz w:val="22"/>
          <w:szCs w:val="22"/>
          <w14:ligatures w14:val="none"/>
        </w:rPr>
        <w:t>partners</w:t>
      </w:r>
      <w:proofErr w:type="gramEnd"/>
    </w:p>
    <w:p w14:paraId="00BA8FA1"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Excellent oral and written communication skills</w:t>
      </w:r>
    </w:p>
    <w:p w14:paraId="1024D20F"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Leadership and managerial experience</w:t>
      </w:r>
    </w:p>
    <w:p w14:paraId="6F9B4742"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Embodies COMPANY values; exhibits high degree of integrity and professionalism when interacting with outside investigators and </w:t>
      </w:r>
      <w:proofErr w:type="gramStart"/>
      <w:r w:rsidRPr="00997CEF">
        <w:rPr>
          <w:rFonts w:ascii="Calibri" w:eastAsia="Times New Roman" w:hAnsi="Calibri" w:cs="Calibri"/>
          <w:color w:val="333333"/>
          <w:kern w:val="0"/>
          <w:sz w:val="22"/>
          <w:szCs w:val="22"/>
          <w14:ligatures w14:val="none"/>
        </w:rPr>
        <w:t>vendors</w:t>
      </w:r>
      <w:proofErr w:type="gramEnd"/>
    </w:p>
    <w:p w14:paraId="3309966F" w14:textId="77777777" w:rsidR="00997CEF" w:rsidRPr="00997CEF" w:rsidRDefault="00997CEF" w:rsidP="00997CEF">
      <w:pPr>
        <w:numPr>
          <w:ilvl w:val="0"/>
          <w:numId w:val="2"/>
        </w:numPr>
        <w:spacing w:after="0" w:line="240" w:lineRule="auto"/>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333333"/>
          <w:kern w:val="0"/>
          <w:sz w:val="22"/>
          <w:szCs w:val="22"/>
          <w14:ligatures w14:val="none"/>
        </w:rPr>
        <w:t xml:space="preserve">Entrepreneurial and enjoys working in a fast-paced, creative, and resourceful small company </w:t>
      </w:r>
      <w:proofErr w:type="gramStart"/>
      <w:r w:rsidRPr="00997CEF">
        <w:rPr>
          <w:rFonts w:ascii="Calibri" w:eastAsia="Times New Roman" w:hAnsi="Calibri" w:cs="Calibri"/>
          <w:color w:val="333333"/>
          <w:kern w:val="0"/>
          <w:sz w:val="22"/>
          <w:szCs w:val="22"/>
          <w14:ligatures w14:val="none"/>
        </w:rPr>
        <w:t>environment</w:t>
      </w:r>
      <w:proofErr w:type="gramEnd"/>
    </w:p>
    <w:p w14:paraId="11DCFC1D" w14:textId="77777777" w:rsidR="00997CEF" w:rsidRPr="00997CEF" w:rsidRDefault="00997CEF" w:rsidP="00997CEF">
      <w:pPr>
        <w:numPr>
          <w:ilvl w:val="0"/>
          <w:numId w:val="2"/>
        </w:numPr>
        <w:spacing w:after="0" w:line="240" w:lineRule="auto"/>
        <w:ind w:left="1440"/>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000000"/>
          <w:kern w:val="0"/>
          <w:sz w:val="22"/>
          <w:szCs w:val="22"/>
          <w:shd w:val="clear" w:color="auto" w:fill="FFFFFF"/>
          <w14:ligatures w14:val="none"/>
        </w:rPr>
        <w:t>Strong commitment to compliance and ethical standards</w:t>
      </w:r>
    </w:p>
    <w:p w14:paraId="65C0AB91" w14:textId="77777777" w:rsidR="00997CEF" w:rsidRPr="00997CEF" w:rsidRDefault="00997CEF" w:rsidP="00997CEF">
      <w:pPr>
        <w:numPr>
          <w:ilvl w:val="0"/>
          <w:numId w:val="2"/>
        </w:numPr>
        <w:spacing w:after="0" w:line="240" w:lineRule="auto"/>
        <w:ind w:left="1440"/>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000000"/>
          <w:kern w:val="0"/>
          <w:sz w:val="22"/>
          <w:szCs w:val="22"/>
          <w:shd w:val="clear" w:color="auto" w:fill="FFFFFF"/>
          <w14:ligatures w14:val="none"/>
        </w:rPr>
        <w:t>Proficient with Microsoft Office suite (i.e., Word, PowerPoint, Excel, Outlook, SharePoint, etc.)</w:t>
      </w:r>
    </w:p>
    <w:p w14:paraId="2B82BB02" w14:textId="77777777" w:rsidR="00997CEF" w:rsidRPr="00997CEF" w:rsidRDefault="00997CEF" w:rsidP="00997CEF">
      <w:pPr>
        <w:numPr>
          <w:ilvl w:val="0"/>
          <w:numId w:val="2"/>
        </w:numPr>
        <w:spacing w:after="0" w:line="240" w:lineRule="auto"/>
        <w:ind w:left="1440"/>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000000"/>
          <w:kern w:val="0"/>
          <w:sz w:val="22"/>
          <w:szCs w:val="22"/>
          <w:shd w:val="clear" w:color="auto" w:fill="FFFFFF"/>
          <w14:ligatures w14:val="none"/>
        </w:rPr>
        <w:t xml:space="preserve">Ability to travel up to </w:t>
      </w:r>
      <w:proofErr w:type="gramStart"/>
      <w:r w:rsidRPr="00997CEF">
        <w:rPr>
          <w:rFonts w:ascii="Calibri" w:eastAsia="Times New Roman" w:hAnsi="Calibri" w:cs="Calibri"/>
          <w:color w:val="000000"/>
          <w:kern w:val="0"/>
          <w:sz w:val="22"/>
          <w:szCs w:val="22"/>
          <w:shd w:val="clear" w:color="auto" w:fill="FFFFFF"/>
          <w14:ligatures w14:val="none"/>
        </w:rPr>
        <w:t>5%</w:t>
      </w:r>
      <w:proofErr w:type="gramEnd"/>
    </w:p>
    <w:p w14:paraId="514D13B1" w14:textId="77777777" w:rsidR="00997CEF" w:rsidRPr="00997CEF" w:rsidRDefault="00997CEF" w:rsidP="00997CEF">
      <w:pPr>
        <w:numPr>
          <w:ilvl w:val="0"/>
          <w:numId w:val="2"/>
        </w:numPr>
        <w:spacing w:line="240" w:lineRule="auto"/>
        <w:ind w:left="1440"/>
        <w:rPr>
          <w:rFonts w:ascii="Montserrat" w:eastAsia="Times New Roman" w:hAnsi="Montserrat" w:cs="Times New Roman"/>
          <w:color w:val="333333"/>
          <w:kern w:val="0"/>
          <w:sz w:val="20"/>
          <w:szCs w:val="20"/>
          <w14:ligatures w14:val="none"/>
        </w:rPr>
      </w:pPr>
      <w:r w:rsidRPr="00997CEF">
        <w:rPr>
          <w:rFonts w:ascii="Calibri" w:eastAsia="Times New Roman" w:hAnsi="Calibri" w:cs="Calibri"/>
          <w:color w:val="000000"/>
          <w:kern w:val="0"/>
          <w:sz w:val="22"/>
          <w:szCs w:val="22"/>
          <w:shd w:val="clear" w:color="auto" w:fill="FFFFFF"/>
          <w14:ligatures w14:val="none"/>
        </w:rPr>
        <w:t xml:space="preserve">Salary is commensurate with </w:t>
      </w:r>
      <w:proofErr w:type="gramStart"/>
      <w:r w:rsidRPr="00997CEF">
        <w:rPr>
          <w:rFonts w:ascii="Calibri" w:eastAsia="Times New Roman" w:hAnsi="Calibri" w:cs="Calibri"/>
          <w:color w:val="000000"/>
          <w:kern w:val="0"/>
          <w:sz w:val="22"/>
          <w:szCs w:val="22"/>
          <w:shd w:val="clear" w:color="auto" w:fill="FFFFFF"/>
          <w14:ligatures w14:val="none"/>
        </w:rPr>
        <w:t>experience</w:t>
      </w:r>
      <w:proofErr w:type="gramEnd"/>
    </w:p>
    <w:p w14:paraId="2B4FCFED" w14:textId="77777777" w:rsidR="00265956" w:rsidRDefault="00265956"/>
    <w:sectPr w:rsidR="00265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E0D49"/>
    <w:multiLevelType w:val="multilevel"/>
    <w:tmpl w:val="BF8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A5186"/>
    <w:multiLevelType w:val="multilevel"/>
    <w:tmpl w:val="920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55330">
    <w:abstractNumId w:val="1"/>
  </w:num>
  <w:num w:numId="2" w16cid:durableId="119874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EF"/>
    <w:rsid w:val="00265956"/>
    <w:rsid w:val="007655F3"/>
    <w:rsid w:val="0099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CE8B9"/>
  <w15:chartTrackingRefBased/>
  <w15:docId w15:val="{22ED244F-3164-4DC6-BE28-3BED92E9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EF"/>
    <w:rPr>
      <w:rFonts w:eastAsiaTheme="majorEastAsia" w:cstheme="majorBidi"/>
      <w:color w:val="272727" w:themeColor="text1" w:themeTint="D8"/>
    </w:rPr>
  </w:style>
  <w:style w:type="paragraph" w:styleId="Title">
    <w:name w:val="Title"/>
    <w:basedOn w:val="Normal"/>
    <w:next w:val="Normal"/>
    <w:link w:val="TitleChar"/>
    <w:uiPriority w:val="10"/>
    <w:qFormat/>
    <w:rsid w:val="00997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EF"/>
    <w:pPr>
      <w:spacing w:before="160"/>
      <w:jc w:val="center"/>
    </w:pPr>
    <w:rPr>
      <w:i/>
      <w:iCs/>
      <w:color w:val="404040" w:themeColor="text1" w:themeTint="BF"/>
    </w:rPr>
  </w:style>
  <w:style w:type="character" w:customStyle="1" w:styleId="QuoteChar">
    <w:name w:val="Quote Char"/>
    <w:basedOn w:val="DefaultParagraphFont"/>
    <w:link w:val="Quote"/>
    <w:uiPriority w:val="29"/>
    <w:rsid w:val="00997CEF"/>
    <w:rPr>
      <w:i/>
      <w:iCs/>
      <w:color w:val="404040" w:themeColor="text1" w:themeTint="BF"/>
    </w:rPr>
  </w:style>
  <w:style w:type="paragraph" w:styleId="ListParagraph">
    <w:name w:val="List Paragraph"/>
    <w:basedOn w:val="Normal"/>
    <w:uiPriority w:val="34"/>
    <w:qFormat/>
    <w:rsid w:val="00997CEF"/>
    <w:pPr>
      <w:ind w:left="720"/>
      <w:contextualSpacing/>
    </w:pPr>
  </w:style>
  <w:style w:type="character" w:styleId="IntenseEmphasis">
    <w:name w:val="Intense Emphasis"/>
    <w:basedOn w:val="DefaultParagraphFont"/>
    <w:uiPriority w:val="21"/>
    <w:qFormat/>
    <w:rsid w:val="00997CEF"/>
    <w:rPr>
      <w:i/>
      <w:iCs/>
      <w:color w:val="0F4761" w:themeColor="accent1" w:themeShade="BF"/>
    </w:rPr>
  </w:style>
  <w:style w:type="paragraph" w:styleId="IntenseQuote">
    <w:name w:val="Intense Quote"/>
    <w:basedOn w:val="Normal"/>
    <w:next w:val="Normal"/>
    <w:link w:val="IntenseQuoteChar"/>
    <w:uiPriority w:val="30"/>
    <w:qFormat/>
    <w:rsid w:val="00997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CEF"/>
    <w:rPr>
      <w:i/>
      <w:iCs/>
      <w:color w:val="0F4761" w:themeColor="accent1" w:themeShade="BF"/>
    </w:rPr>
  </w:style>
  <w:style w:type="character" w:styleId="IntenseReference">
    <w:name w:val="Intense Reference"/>
    <w:basedOn w:val="DefaultParagraphFont"/>
    <w:uiPriority w:val="32"/>
    <w:qFormat/>
    <w:rsid w:val="00997CEF"/>
    <w:rPr>
      <w:b/>
      <w:bCs/>
      <w:smallCaps/>
      <w:color w:val="0F4761" w:themeColor="accent1" w:themeShade="BF"/>
      <w:spacing w:val="5"/>
    </w:rPr>
  </w:style>
  <w:style w:type="character" w:styleId="Strong">
    <w:name w:val="Strong"/>
    <w:basedOn w:val="DefaultParagraphFont"/>
    <w:uiPriority w:val="22"/>
    <w:qFormat/>
    <w:rsid w:val="00997CEF"/>
    <w:rPr>
      <w:b/>
      <w:bCs/>
    </w:rPr>
  </w:style>
  <w:style w:type="character" w:styleId="Emphasis">
    <w:name w:val="Emphasis"/>
    <w:basedOn w:val="DefaultParagraphFont"/>
    <w:uiPriority w:val="20"/>
    <w:qFormat/>
    <w:rsid w:val="00997CEF"/>
    <w:rPr>
      <w:i/>
      <w:iCs/>
    </w:rPr>
  </w:style>
  <w:style w:type="paragraph" w:styleId="NoSpacing">
    <w:name w:val="No Spacing"/>
    <w:basedOn w:val="Normal"/>
    <w:uiPriority w:val="1"/>
    <w:qFormat/>
    <w:rsid w:val="00997C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041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608</Words>
  <Characters>4221</Characters>
  <Application>Microsoft Office Word</Application>
  <DocSecurity>0</DocSecurity>
  <Lines>73</Lines>
  <Paragraphs>35</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2024-06-19T18:10:00Z</dcterms:created>
  <dcterms:modified xsi:type="dcterms:W3CDTF">2024-06-19T18:12:00Z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1cbf52b5-b632-423b-88c4-3afdaa93892b</vt:lpwstr>
  </property>
</Properties>
</file>