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954EF4" w14:textId="691B3F59" w:rsidR="002F3E2F" w:rsidRDefault="002F3E2F" w:rsidP="002F3E2F">
      <w:pPr>
        <w:pStyle w:val="field"/>
        <w:ind w:left="720"/>
        <w:rPr>
          <w:rFonts w:ascii="Montserrat" w:hAnsi="Montserrat"/>
          <w:color w:val="282828"/>
          <w:sz w:val="20"/>
          <w:szCs w:val="20"/>
        </w:rPr>
      </w:pPr>
      <w:r>
        <w:rPr>
          <w:rStyle w:val="overflowed"/>
          <w:rFonts w:ascii="Montserrat" w:eastAsiaTheme="majorEastAsia" w:hAnsi="Montserrat"/>
          <w:color w:val="282828"/>
          <w:sz w:val="20"/>
          <w:szCs w:val="20"/>
        </w:rPr>
        <w:t xml:space="preserve">Skyhawk Therapeutics - </w:t>
      </w:r>
      <w:r>
        <w:rPr>
          <w:rStyle w:val="overflowed"/>
          <w:rFonts w:ascii="Montserrat" w:eastAsiaTheme="majorEastAsia" w:hAnsi="Montserrat"/>
          <w:color w:val="282828"/>
          <w:sz w:val="20"/>
          <w:szCs w:val="20"/>
        </w:rPr>
        <w:t>Medical Toxicology</w:t>
      </w:r>
    </w:p>
    <w:p w14:paraId="1B02B64B" w14:textId="77777777" w:rsidR="002F3E2F" w:rsidRDefault="002F3E2F" w:rsidP="002F3E2F">
      <w:pPr>
        <w:pStyle w:val="field"/>
        <w:ind w:left="720"/>
        <w:rPr>
          <w:rFonts w:ascii="Montserrat" w:hAnsi="Montserrat"/>
          <w:color w:val="282828"/>
          <w:sz w:val="20"/>
          <w:szCs w:val="20"/>
        </w:rPr>
      </w:pPr>
      <w:r>
        <w:rPr>
          <w:rStyle w:val="overflowed"/>
          <w:rFonts w:ascii="Montserrat" w:eastAsiaTheme="majorEastAsia" w:hAnsi="Montserrat"/>
          <w:color w:val="282828"/>
          <w:sz w:val="20"/>
          <w:szCs w:val="20"/>
        </w:rPr>
        <w:t>Toxicology</w:t>
      </w:r>
    </w:p>
    <w:p w14:paraId="521811F1" w14:textId="77777777" w:rsidR="002F3E2F" w:rsidRDefault="002F3E2F" w:rsidP="002F3E2F">
      <w:pPr>
        <w:pStyle w:val="field"/>
        <w:numPr>
          <w:ilvl w:val="0"/>
          <w:numId w:val="1"/>
        </w:numPr>
        <w:rPr>
          <w:rFonts w:ascii="Montserrat" w:hAnsi="Montserrat"/>
          <w:color w:val="282828"/>
          <w:sz w:val="20"/>
          <w:szCs w:val="20"/>
        </w:rPr>
      </w:pPr>
      <w:r>
        <w:rPr>
          <w:rFonts w:ascii="Montserrat" w:hAnsi="Montserrat"/>
          <w:color w:val="282828"/>
          <w:sz w:val="20"/>
          <w:szCs w:val="20"/>
        </w:rPr>
        <w:t>Internal Description</w:t>
      </w:r>
    </w:p>
    <w:p w14:paraId="00753B52" w14:textId="77777777" w:rsidR="002F3E2F" w:rsidRDefault="002F3E2F" w:rsidP="002F3E2F">
      <w:pPr>
        <w:pStyle w:val="field"/>
        <w:ind w:left="720"/>
        <w:rPr>
          <w:rFonts w:ascii="Montserrat" w:hAnsi="Montserrat"/>
          <w:color w:val="282828"/>
          <w:sz w:val="20"/>
          <w:szCs w:val="20"/>
        </w:rPr>
      </w:pPr>
      <w:r>
        <w:rPr>
          <w:rStyle w:val="Strong"/>
          <w:rFonts w:ascii="Montserrat" w:eastAsiaTheme="majorEastAsia" w:hAnsi="Montserrat"/>
          <w:color w:val="282828"/>
          <w:sz w:val="20"/>
          <w:szCs w:val="20"/>
          <w:u w:val="single"/>
        </w:rPr>
        <w:t>Director of Safety</w:t>
      </w:r>
      <w:r>
        <w:rPr>
          <w:rFonts w:ascii="Montserrat" w:hAnsi="Montserrat"/>
          <w:color w:val="282828"/>
          <w:sz w:val="20"/>
          <w:szCs w:val="20"/>
        </w:rPr>
        <w:br/>
        <w:t>Our client is seeking a Director of Nonclinical Safety and Toxicology. This position will be based either in Greater Boston or in the EU. This individual will be responsible for serving as a Project Safety Representative for Toxicology and Safety Pharmacology efforts, supporting multiple programs across multiple disease indications and research areas.</w:t>
      </w:r>
      <w:r>
        <w:rPr>
          <w:rFonts w:ascii="Montserrat" w:hAnsi="Montserrat"/>
          <w:color w:val="282828"/>
          <w:sz w:val="20"/>
          <w:szCs w:val="20"/>
        </w:rPr>
        <w:br/>
      </w:r>
      <w:r>
        <w:rPr>
          <w:rFonts w:ascii="Montserrat" w:hAnsi="Montserrat"/>
          <w:color w:val="282828"/>
          <w:sz w:val="20"/>
          <w:szCs w:val="20"/>
        </w:rPr>
        <w:br/>
      </w:r>
      <w:r>
        <w:rPr>
          <w:rStyle w:val="Strong"/>
          <w:rFonts w:ascii="Montserrat" w:eastAsiaTheme="majorEastAsia" w:hAnsi="Montserrat"/>
          <w:color w:val="282828"/>
          <w:sz w:val="20"/>
          <w:szCs w:val="20"/>
          <w:u w:val="single"/>
        </w:rPr>
        <w:t>About the Company</w:t>
      </w:r>
      <w:r>
        <w:rPr>
          <w:rFonts w:ascii="Montserrat" w:hAnsi="Montserrat"/>
          <w:color w:val="282828"/>
          <w:sz w:val="20"/>
          <w:szCs w:val="20"/>
        </w:rPr>
        <w:br/>
        <w:t>This is a small-molecule company developing RNA therapeutics in areas of Oncology, Neuroscience, and others. They have a proprietary platform that efficiently accelerates the discovery and development of small molecule RNA targeting drugs by leveraging their RNA. They are a clinical stage company and have strong partnerships with large pharma.</w:t>
      </w:r>
      <w:r>
        <w:rPr>
          <w:rFonts w:ascii="Montserrat" w:hAnsi="Montserrat"/>
          <w:color w:val="282828"/>
          <w:sz w:val="20"/>
          <w:szCs w:val="20"/>
        </w:rPr>
        <w:br/>
      </w:r>
      <w:r>
        <w:rPr>
          <w:rFonts w:ascii="Montserrat" w:hAnsi="Montserrat"/>
          <w:color w:val="282828"/>
          <w:sz w:val="20"/>
          <w:szCs w:val="20"/>
        </w:rPr>
        <w:br/>
      </w:r>
      <w:proofErr w:type="gramStart"/>
      <w:r>
        <w:rPr>
          <w:rStyle w:val="Strong"/>
          <w:rFonts w:ascii="Montserrat" w:eastAsiaTheme="majorEastAsia" w:hAnsi="Montserrat"/>
          <w:color w:val="282828"/>
          <w:sz w:val="20"/>
          <w:szCs w:val="20"/>
          <w:u w:val="single"/>
        </w:rPr>
        <w:t>Responsibilities</w:t>
      </w:r>
      <w:proofErr w:type="gramEnd"/>
      <w:r>
        <w:rPr>
          <w:rStyle w:val="Strong"/>
          <w:rFonts w:ascii="Montserrat" w:eastAsiaTheme="majorEastAsia" w:hAnsi="Montserrat"/>
          <w:color w:val="282828"/>
          <w:sz w:val="20"/>
          <w:szCs w:val="20"/>
          <w:u w:val="single"/>
        </w:rPr>
        <w:t xml:space="preserve">  </w:t>
      </w:r>
    </w:p>
    <w:p w14:paraId="2C717A6E" w14:textId="77777777" w:rsidR="002F3E2F" w:rsidRDefault="002F3E2F" w:rsidP="002F3E2F">
      <w:pPr>
        <w:pStyle w:val="field"/>
        <w:numPr>
          <w:ilvl w:val="1"/>
          <w:numId w:val="1"/>
        </w:numPr>
        <w:rPr>
          <w:rFonts w:ascii="Montserrat" w:hAnsi="Montserrat"/>
          <w:color w:val="282828"/>
          <w:sz w:val="20"/>
          <w:szCs w:val="20"/>
        </w:rPr>
      </w:pPr>
      <w:r>
        <w:rPr>
          <w:rFonts w:ascii="Montserrat" w:hAnsi="Montserrat"/>
          <w:color w:val="282828"/>
          <w:sz w:val="20"/>
          <w:szCs w:val="20"/>
        </w:rPr>
        <w:t xml:space="preserve">Serve as Project Safety Representative on early Discovery through Phase 1 projects, including, but not limited to, the critical evaluation, risk assessment, and communication (including authorship of FIH-enabling regulatory documents) associated with nonclinical safety data and contribution to overall program </w:t>
      </w:r>
      <w:proofErr w:type="gramStart"/>
      <w:r>
        <w:rPr>
          <w:rFonts w:ascii="Montserrat" w:hAnsi="Montserrat"/>
          <w:color w:val="282828"/>
          <w:sz w:val="20"/>
          <w:szCs w:val="20"/>
        </w:rPr>
        <w:t>strategy</w:t>
      </w:r>
      <w:proofErr w:type="gramEnd"/>
    </w:p>
    <w:p w14:paraId="187285F0" w14:textId="77777777" w:rsidR="002F3E2F" w:rsidRDefault="002F3E2F" w:rsidP="002F3E2F">
      <w:pPr>
        <w:pStyle w:val="field"/>
        <w:numPr>
          <w:ilvl w:val="1"/>
          <w:numId w:val="1"/>
        </w:numPr>
        <w:rPr>
          <w:rFonts w:ascii="Montserrat" w:hAnsi="Montserrat"/>
          <w:color w:val="282828"/>
          <w:sz w:val="20"/>
          <w:szCs w:val="20"/>
        </w:rPr>
      </w:pPr>
      <w:r>
        <w:rPr>
          <w:rFonts w:ascii="Montserrat" w:hAnsi="Montserrat"/>
          <w:color w:val="282828"/>
          <w:sz w:val="20"/>
          <w:szCs w:val="20"/>
        </w:rPr>
        <w:t xml:space="preserve">Design, oversight, and monitoring of outsourced nonclinical safety studies for assigned projects, including interaction and communication with key CRO </w:t>
      </w:r>
      <w:proofErr w:type="gramStart"/>
      <w:r>
        <w:rPr>
          <w:rFonts w:ascii="Montserrat" w:hAnsi="Montserrat"/>
          <w:color w:val="282828"/>
          <w:sz w:val="20"/>
          <w:szCs w:val="20"/>
        </w:rPr>
        <w:t>partners</w:t>
      </w:r>
      <w:proofErr w:type="gramEnd"/>
    </w:p>
    <w:p w14:paraId="7C88FB19" w14:textId="77777777" w:rsidR="002F3E2F" w:rsidRDefault="002F3E2F" w:rsidP="002F3E2F">
      <w:pPr>
        <w:pStyle w:val="field"/>
        <w:numPr>
          <w:ilvl w:val="1"/>
          <w:numId w:val="1"/>
        </w:numPr>
        <w:rPr>
          <w:rFonts w:ascii="Montserrat" w:hAnsi="Montserrat"/>
          <w:color w:val="282828"/>
          <w:sz w:val="20"/>
          <w:szCs w:val="20"/>
        </w:rPr>
      </w:pPr>
      <w:r>
        <w:rPr>
          <w:rFonts w:ascii="Montserrat" w:hAnsi="Montserrat"/>
          <w:color w:val="282828"/>
          <w:sz w:val="20"/>
          <w:szCs w:val="20"/>
        </w:rPr>
        <w:t xml:space="preserve">Responsible for target safety assessments and contributing to investigative toxicology </w:t>
      </w:r>
      <w:proofErr w:type="gramStart"/>
      <w:r>
        <w:rPr>
          <w:rFonts w:ascii="Montserrat" w:hAnsi="Montserrat"/>
          <w:color w:val="282828"/>
          <w:sz w:val="20"/>
          <w:szCs w:val="20"/>
        </w:rPr>
        <w:t>efforts</w:t>
      </w:r>
      <w:proofErr w:type="gramEnd"/>
    </w:p>
    <w:p w14:paraId="2E15EB67" w14:textId="77777777" w:rsidR="002F3E2F" w:rsidRDefault="002F3E2F" w:rsidP="002F3E2F">
      <w:pPr>
        <w:pStyle w:val="field"/>
        <w:numPr>
          <w:ilvl w:val="1"/>
          <w:numId w:val="1"/>
        </w:numPr>
        <w:rPr>
          <w:rFonts w:ascii="Montserrat" w:hAnsi="Montserrat"/>
          <w:color w:val="282828"/>
          <w:sz w:val="20"/>
          <w:szCs w:val="20"/>
        </w:rPr>
      </w:pPr>
      <w:r>
        <w:rPr>
          <w:rFonts w:ascii="Montserrat" w:hAnsi="Montserrat"/>
          <w:color w:val="282828"/>
          <w:sz w:val="20"/>
          <w:szCs w:val="20"/>
        </w:rPr>
        <w:t>Effectively collaborate with members of the scientific team and external consultants to generate a nonclinical safety plan and design, execute, and interpret results from in vitro and in vivo safety studies.</w:t>
      </w:r>
    </w:p>
    <w:p w14:paraId="19F48D49" w14:textId="77777777" w:rsidR="002F3E2F" w:rsidRDefault="002F3E2F" w:rsidP="002F3E2F">
      <w:pPr>
        <w:pStyle w:val="field"/>
        <w:numPr>
          <w:ilvl w:val="1"/>
          <w:numId w:val="1"/>
        </w:numPr>
        <w:rPr>
          <w:rFonts w:ascii="Montserrat" w:hAnsi="Montserrat"/>
          <w:color w:val="282828"/>
          <w:sz w:val="20"/>
          <w:szCs w:val="20"/>
        </w:rPr>
      </w:pPr>
      <w:r>
        <w:rPr>
          <w:rFonts w:ascii="Montserrat" w:hAnsi="Montserrat"/>
          <w:color w:val="282828"/>
          <w:sz w:val="20"/>
          <w:szCs w:val="20"/>
        </w:rPr>
        <w:t>Independently develop solutions and strategies within own expertise while using breadth of knowledge of other disciplines</w:t>
      </w:r>
    </w:p>
    <w:p w14:paraId="55DCEC34" w14:textId="77777777" w:rsidR="002F3E2F" w:rsidRDefault="002F3E2F" w:rsidP="002F3E2F">
      <w:pPr>
        <w:pStyle w:val="field"/>
        <w:numPr>
          <w:ilvl w:val="1"/>
          <w:numId w:val="1"/>
        </w:numPr>
        <w:rPr>
          <w:rFonts w:ascii="Montserrat" w:hAnsi="Montserrat"/>
          <w:color w:val="282828"/>
          <w:sz w:val="20"/>
          <w:szCs w:val="20"/>
        </w:rPr>
      </w:pPr>
      <w:r>
        <w:rPr>
          <w:rFonts w:ascii="Montserrat" w:hAnsi="Montserrat"/>
          <w:color w:val="282828"/>
          <w:sz w:val="20"/>
          <w:szCs w:val="20"/>
        </w:rPr>
        <w:t xml:space="preserve">Scientifically assess and recommend vendors and outsource nonclinical studies to appropriate </w:t>
      </w:r>
      <w:proofErr w:type="gramStart"/>
      <w:r>
        <w:rPr>
          <w:rFonts w:ascii="Montserrat" w:hAnsi="Montserrat"/>
          <w:color w:val="282828"/>
          <w:sz w:val="20"/>
          <w:szCs w:val="20"/>
        </w:rPr>
        <w:t>CROs</w:t>
      </w:r>
      <w:proofErr w:type="gramEnd"/>
    </w:p>
    <w:p w14:paraId="175E7A0F" w14:textId="77777777" w:rsidR="002F3E2F" w:rsidRDefault="002F3E2F" w:rsidP="002F3E2F">
      <w:pPr>
        <w:pStyle w:val="field"/>
        <w:numPr>
          <w:ilvl w:val="1"/>
          <w:numId w:val="1"/>
        </w:numPr>
        <w:rPr>
          <w:rFonts w:ascii="Montserrat" w:hAnsi="Montserrat"/>
          <w:color w:val="282828"/>
          <w:sz w:val="20"/>
          <w:szCs w:val="20"/>
        </w:rPr>
      </w:pPr>
      <w:r>
        <w:rPr>
          <w:rFonts w:ascii="Montserrat" w:hAnsi="Montserrat"/>
          <w:color w:val="282828"/>
          <w:sz w:val="20"/>
          <w:szCs w:val="20"/>
        </w:rPr>
        <w:t xml:space="preserve">Summarize safety studies for internal and external review and regulatory </w:t>
      </w:r>
      <w:proofErr w:type="gramStart"/>
      <w:r>
        <w:rPr>
          <w:rFonts w:ascii="Montserrat" w:hAnsi="Montserrat"/>
          <w:color w:val="282828"/>
          <w:sz w:val="20"/>
          <w:szCs w:val="20"/>
        </w:rPr>
        <w:t>submissions</w:t>
      </w:r>
      <w:proofErr w:type="gramEnd"/>
    </w:p>
    <w:p w14:paraId="1E7D4BE5" w14:textId="77777777" w:rsidR="002F3E2F" w:rsidRDefault="002F3E2F" w:rsidP="002F3E2F">
      <w:pPr>
        <w:pStyle w:val="field"/>
        <w:numPr>
          <w:ilvl w:val="1"/>
          <w:numId w:val="1"/>
        </w:numPr>
        <w:rPr>
          <w:rFonts w:ascii="Montserrat" w:hAnsi="Montserrat"/>
          <w:color w:val="282828"/>
          <w:sz w:val="20"/>
          <w:szCs w:val="20"/>
        </w:rPr>
      </w:pPr>
      <w:r>
        <w:rPr>
          <w:rFonts w:ascii="Montserrat" w:hAnsi="Montserrat"/>
          <w:color w:val="282828"/>
          <w:sz w:val="20"/>
          <w:szCs w:val="20"/>
        </w:rPr>
        <w:t xml:space="preserve">Participate in early clinical candidate selection and asset characterization in support of clinical </w:t>
      </w:r>
      <w:proofErr w:type="gramStart"/>
      <w:r>
        <w:rPr>
          <w:rFonts w:ascii="Montserrat" w:hAnsi="Montserrat"/>
          <w:color w:val="282828"/>
          <w:sz w:val="20"/>
          <w:szCs w:val="20"/>
        </w:rPr>
        <w:t>trials</w:t>
      </w:r>
      <w:proofErr w:type="gramEnd"/>
    </w:p>
    <w:p w14:paraId="47D55DBE" w14:textId="77777777" w:rsidR="002F3E2F" w:rsidRDefault="002F3E2F" w:rsidP="002F3E2F">
      <w:pPr>
        <w:pStyle w:val="field"/>
        <w:numPr>
          <w:ilvl w:val="1"/>
          <w:numId w:val="1"/>
        </w:numPr>
        <w:rPr>
          <w:rFonts w:ascii="Montserrat" w:hAnsi="Montserrat"/>
          <w:color w:val="282828"/>
          <w:sz w:val="20"/>
          <w:szCs w:val="20"/>
        </w:rPr>
      </w:pPr>
      <w:r>
        <w:rPr>
          <w:rFonts w:ascii="Montserrat" w:hAnsi="Montserrat"/>
          <w:color w:val="282828"/>
          <w:sz w:val="20"/>
          <w:szCs w:val="20"/>
        </w:rPr>
        <w:t xml:space="preserve">Assess innovative technologies in the field of toxicology and provide recommendations to advance Skyhawk’s toxicology screening strategy as </w:t>
      </w:r>
      <w:proofErr w:type="gramStart"/>
      <w:r>
        <w:rPr>
          <w:rFonts w:ascii="Montserrat" w:hAnsi="Montserrat"/>
          <w:color w:val="282828"/>
          <w:sz w:val="20"/>
          <w:szCs w:val="20"/>
        </w:rPr>
        <w:t>appropriate</w:t>
      </w:r>
      <w:proofErr w:type="gramEnd"/>
    </w:p>
    <w:p w14:paraId="5F7A1BC9" w14:textId="77777777" w:rsidR="002F3E2F" w:rsidRDefault="002F3E2F" w:rsidP="002F3E2F">
      <w:pPr>
        <w:pStyle w:val="field"/>
        <w:spacing w:before="0" w:after="0"/>
        <w:ind w:left="720"/>
        <w:rPr>
          <w:rFonts w:ascii="Montserrat" w:hAnsi="Montserrat"/>
          <w:color w:val="282828"/>
          <w:sz w:val="20"/>
          <w:szCs w:val="20"/>
        </w:rPr>
      </w:pPr>
      <w:r>
        <w:rPr>
          <w:rStyle w:val="Strong"/>
          <w:rFonts w:ascii="Montserrat" w:eastAsiaTheme="majorEastAsia" w:hAnsi="Montserrat"/>
          <w:color w:val="282828"/>
          <w:sz w:val="20"/>
          <w:szCs w:val="20"/>
          <w:u w:val="single"/>
        </w:rPr>
        <w:t>Requirements</w:t>
      </w:r>
    </w:p>
    <w:p w14:paraId="6A88DF16" w14:textId="77777777" w:rsidR="002F3E2F" w:rsidRDefault="002F3E2F" w:rsidP="002F3E2F">
      <w:pPr>
        <w:pStyle w:val="field"/>
        <w:numPr>
          <w:ilvl w:val="1"/>
          <w:numId w:val="1"/>
        </w:numPr>
        <w:rPr>
          <w:rFonts w:ascii="Montserrat" w:hAnsi="Montserrat"/>
          <w:color w:val="282828"/>
          <w:sz w:val="20"/>
          <w:szCs w:val="20"/>
        </w:rPr>
      </w:pPr>
      <w:r>
        <w:rPr>
          <w:rFonts w:ascii="Montserrat" w:hAnsi="Montserrat"/>
          <w:color w:val="282828"/>
          <w:sz w:val="20"/>
          <w:szCs w:val="20"/>
        </w:rPr>
        <w:t>DVM or PhD in Pharmacology, Toxicology, and/or a related discipline with at least 7 years of pharmaceutical Nonclinical Safety Assessment experience</w:t>
      </w:r>
    </w:p>
    <w:p w14:paraId="1FE32C81" w14:textId="77777777" w:rsidR="002F3E2F" w:rsidRDefault="002F3E2F" w:rsidP="002F3E2F">
      <w:pPr>
        <w:pStyle w:val="field"/>
        <w:numPr>
          <w:ilvl w:val="1"/>
          <w:numId w:val="1"/>
        </w:numPr>
        <w:rPr>
          <w:rFonts w:ascii="Montserrat" w:hAnsi="Montserrat"/>
          <w:color w:val="282828"/>
          <w:sz w:val="20"/>
          <w:szCs w:val="20"/>
        </w:rPr>
      </w:pPr>
      <w:r>
        <w:rPr>
          <w:rFonts w:ascii="Montserrat" w:hAnsi="Montserrat"/>
          <w:color w:val="282828"/>
          <w:sz w:val="20"/>
          <w:szCs w:val="20"/>
        </w:rPr>
        <w:lastRenderedPageBreak/>
        <w:t xml:space="preserve">Knowledgeable with respect to current Regulatory Guidance (e.g., ICH) pertaining to the Nonclinical Safety Assessment of research and development drug </w:t>
      </w:r>
      <w:proofErr w:type="gramStart"/>
      <w:r>
        <w:rPr>
          <w:rFonts w:ascii="Montserrat" w:hAnsi="Montserrat"/>
          <w:color w:val="282828"/>
          <w:sz w:val="20"/>
          <w:szCs w:val="20"/>
        </w:rPr>
        <w:t>candidates</w:t>
      </w:r>
      <w:proofErr w:type="gramEnd"/>
    </w:p>
    <w:p w14:paraId="692F1EB6" w14:textId="77777777" w:rsidR="002F3E2F" w:rsidRDefault="002F3E2F" w:rsidP="002F3E2F">
      <w:pPr>
        <w:pStyle w:val="field"/>
        <w:numPr>
          <w:ilvl w:val="1"/>
          <w:numId w:val="1"/>
        </w:numPr>
        <w:rPr>
          <w:rFonts w:ascii="Montserrat" w:hAnsi="Montserrat"/>
          <w:color w:val="282828"/>
          <w:sz w:val="20"/>
          <w:szCs w:val="20"/>
        </w:rPr>
      </w:pPr>
      <w:r>
        <w:rPr>
          <w:rFonts w:ascii="Montserrat" w:hAnsi="Montserrat"/>
          <w:color w:val="282828"/>
          <w:sz w:val="20"/>
          <w:szCs w:val="20"/>
        </w:rPr>
        <w:t xml:space="preserve">Knowledgeable with respect to GLP regulations and application thereof to ensure compliance of studies conducted to support the clinical development of drug </w:t>
      </w:r>
      <w:proofErr w:type="gramStart"/>
      <w:r>
        <w:rPr>
          <w:rFonts w:ascii="Montserrat" w:hAnsi="Montserrat"/>
          <w:color w:val="282828"/>
          <w:sz w:val="20"/>
          <w:szCs w:val="20"/>
        </w:rPr>
        <w:t>candidates</w:t>
      </w:r>
      <w:proofErr w:type="gramEnd"/>
    </w:p>
    <w:p w14:paraId="4FBA21C1" w14:textId="77777777" w:rsidR="002F3E2F" w:rsidRDefault="002F3E2F" w:rsidP="002F3E2F">
      <w:pPr>
        <w:pStyle w:val="field"/>
        <w:numPr>
          <w:ilvl w:val="1"/>
          <w:numId w:val="1"/>
        </w:numPr>
        <w:rPr>
          <w:rFonts w:ascii="Montserrat" w:hAnsi="Montserrat"/>
          <w:color w:val="282828"/>
          <w:sz w:val="20"/>
          <w:szCs w:val="20"/>
        </w:rPr>
      </w:pPr>
      <w:r>
        <w:rPr>
          <w:rFonts w:ascii="Montserrat" w:hAnsi="Montserrat"/>
          <w:color w:val="282828"/>
          <w:sz w:val="20"/>
          <w:szCs w:val="20"/>
        </w:rPr>
        <w:t>Broad expertise in designing, interpreting, and reporting Nonclinical Safety studies across relevant disciplines (e.g., safety pharmacology, genetic toxicology, general toxicology, etc.)</w:t>
      </w:r>
    </w:p>
    <w:p w14:paraId="32ADC9B2" w14:textId="77777777" w:rsidR="002F3E2F" w:rsidRDefault="002F3E2F" w:rsidP="002F3E2F">
      <w:pPr>
        <w:pStyle w:val="field"/>
        <w:numPr>
          <w:ilvl w:val="1"/>
          <w:numId w:val="1"/>
        </w:numPr>
        <w:rPr>
          <w:rFonts w:ascii="Montserrat" w:hAnsi="Montserrat"/>
          <w:color w:val="282828"/>
          <w:sz w:val="20"/>
          <w:szCs w:val="20"/>
        </w:rPr>
      </w:pPr>
      <w:r>
        <w:rPr>
          <w:rFonts w:ascii="Montserrat" w:hAnsi="Montserrat"/>
          <w:color w:val="282828"/>
          <w:sz w:val="20"/>
          <w:szCs w:val="20"/>
        </w:rPr>
        <w:t xml:space="preserve">Background in pre-mRNA splicing is a </w:t>
      </w:r>
      <w:proofErr w:type="gramStart"/>
      <w:r>
        <w:rPr>
          <w:rFonts w:ascii="Montserrat" w:hAnsi="Montserrat"/>
          <w:color w:val="282828"/>
          <w:sz w:val="20"/>
          <w:szCs w:val="20"/>
        </w:rPr>
        <w:t>plus</w:t>
      </w:r>
      <w:proofErr w:type="gramEnd"/>
    </w:p>
    <w:p w14:paraId="501F90AC" w14:textId="77777777" w:rsidR="002F3E2F" w:rsidRDefault="002F3E2F" w:rsidP="002F3E2F">
      <w:pPr>
        <w:pStyle w:val="field"/>
        <w:numPr>
          <w:ilvl w:val="1"/>
          <w:numId w:val="1"/>
        </w:numPr>
        <w:rPr>
          <w:rFonts w:ascii="Montserrat" w:hAnsi="Montserrat"/>
          <w:color w:val="282828"/>
          <w:sz w:val="20"/>
          <w:szCs w:val="20"/>
        </w:rPr>
      </w:pPr>
      <w:r>
        <w:rPr>
          <w:rFonts w:ascii="Montserrat" w:hAnsi="Montserrat"/>
          <w:color w:val="282828"/>
          <w:sz w:val="20"/>
          <w:szCs w:val="20"/>
        </w:rPr>
        <w:t>Strong interpersonal and organizational skills, as well as excellent oral and written communication skills</w:t>
      </w:r>
    </w:p>
    <w:p w14:paraId="65FDFC9C" w14:textId="77777777" w:rsidR="002F3E2F" w:rsidRDefault="002F3E2F" w:rsidP="002F3E2F">
      <w:pPr>
        <w:pStyle w:val="field"/>
        <w:numPr>
          <w:ilvl w:val="1"/>
          <w:numId w:val="1"/>
        </w:numPr>
        <w:rPr>
          <w:rFonts w:ascii="Montserrat" w:hAnsi="Montserrat"/>
          <w:color w:val="282828"/>
          <w:sz w:val="20"/>
          <w:szCs w:val="20"/>
        </w:rPr>
      </w:pPr>
      <w:r>
        <w:rPr>
          <w:rFonts w:ascii="Montserrat" w:hAnsi="Montserrat"/>
          <w:color w:val="282828"/>
          <w:sz w:val="20"/>
          <w:szCs w:val="20"/>
        </w:rPr>
        <w:t xml:space="preserve">Motivation, creativity, collaborative spirit, and team-oriented mindset focused on problem-solving in a goal-focused </w:t>
      </w:r>
      <w:proofErr w:type="gramStart"/>
      <w:r>
        <w:rPr>
          <w:rFonts w:ascii="Montserrat" w:hAnsi="Montserrat"/>
          <w:color w:val="282828"/>
          <w:sz w:val="20"/>
          <w:szCs w:val="20"/>
        </w:rPr>
        <w:t>manner</w:t>
      </w:r>
      <w:proofErr w:type="gramEnd"/>
    </w:p>
    <w:p w14:paraId="74562730" w14:textId="77777777" w:rsidR="001C4E41" w:rsidRDefault="001C4E41"/>
    <w:sectPr w:rsidR="001C4E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6AD3A75"/>
    <w:multiLevelType w:val="multilevel"/>
    <w:tmpl w:val="D906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812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E2F"/>
    <w:rsid w:val="001C4E41"/>
    <w:rsid w:val="002F3E2F"/>
    <w:rsid w:val="00E10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79C80D"/>
  <w15:chartTrackingRefBased/>
  <w15:docId w15:val="{AE5A8CEA-463D-41EF-A45D-53A8D1B60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E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E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E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E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E2F"/>
    <w:rPr>
      <w:b/>
      <w:bCs/>
      <w:smallCaps/>
      <w:color w:val="0F4761" w:themeColor="accent1" w:themeShade="BF"/>
      <w:spacing w:val="5"/>
    </w:rPr>
  </w:style>
  <w:style w:type="paragraph" w:customStyle="1" w:styleId="field">
    <w:name w:val="field"/>
    <w:basedOn w:val="Normal"/>
    <w:rsid w:val="002F3E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overflowed">
    <w:name w:val="overflowed"/>
    <w:basedOn w:val="DefaultParagraphFont"/>
    <w:rsid w:val="002F3E2F"/>
  </w:style>
  <w:style w:type="character" w:styleId="Strong">
    <w:name w:val="Strong"/>
    <w:basedOn w:val="DefaultParagraphFont"/>
    <w:uiPriority w:val="22"/>
    <w:qFormat/>
    <w:rsid w:val="002F3E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248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15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0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4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414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2024-07-01T22:34:00Z</dcterms:created>
  <dcterms:modified xsi:type="dcterms:W3CDTF">2024-07-01T22:35:00Z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adbdebc3-4191-4877-8b9d-e3be205802a1</vt:lpwstr>
  </property>
</Properties>
</file>