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AE53A" w14:textId="77777777" w:rsidR="000E1427" w:rsidRPr="000E1427" w:rsidRDefault="000E1427" w:rsidP="000E1427">
      <w:pPr>
        <w:shd w:val="clear" w:color="auto" w:fill="FFFFFF"/>
        <w:spacing w:after="240" w:line="240" w:lineRule="auto"/>
        <w:outlineLvl w:val="0"/>
        <w:rPr>
          <w:rFonts w:ascii="Helvetica" w:eastAsia="Times New Roman" w:hAnsi="Helvetica" w:cs="Times New Roman"/>
          <w:b/>
          <w:bCs/>
          <w:color w:val="222222"/>
          <w:spacing w:val="-8"/>
          <w:kern w:val="36"/>
          <w:sz w:val="72"/>
          <w:szCs w:val="72"/>
          <w14:ligatures w14:val="none"/>
        </w:rPr>
      </w:pPr>
      <w:r w:rsidRPr="000E1427">
        <w:rPr>
          <w:rFonts w:ascii="Helvetica" w:eastAsia="Times New Roman" w:hAnsi="Helvetica" w:cs="Times New Roman"/>
          <w:b/>
          <w:bCs/>
          <w:color w:val="222222"/>
          <w:spacing w:val="-8"/>
          <w:kern w:val="36"/>
          <w:sz w:val="72"/>
          <w:szCs w:val="72"/>
          <w14:ligatures w14:val="none"/>
        </w:rPr>
        <w:t>Biotech Markets Turn Positive but Experts Say Don’t Call It a Comeback—Yet</w:t>
      </w:r>
    </w:p>
    <w:p w14:paraId="2C98AE0D" w14:textId="77777777" w:rsidR="000E1427" w:rsidRPr="000E1427" w:rsidRDefault="000E1427" w:rsidP="000E1427">
      <w:pPr>
        <w:shd w:val="clear" w:color="auto" w:fill="FFFFFF"/>
        <w:spacing w:after="0" w:line="240" w:lineRule="auto"/>
        <w:rPr>
          <w:rFonts w:ascii="Helvetica" w:eastAsia="Times New Roman" w:hAnsi="Helvetica" w:cs="Times New Roman"/>
          <w:color w:val="222222"/>
          <w:kern w:val="0"/>
          <w14:ligatures w14:val="none"/>
        </w:rPr>
      </w:pPr>
      <w:r w:rsidRPr="000E1427">
        <w:rPr>
          <w:rFonts w:ascii="Helvetica" w:eastAsia="Times New Roman" w:hAnsi="Helvetica" w:cs="Times New Roman"/>
          <w:color w:val="222222"/>
          <w:kern w:val="0"/>
          <w14:ligatures w14:val="none"/>
        </w:rPr>
        <w:t xml:space="preserve">October 22, </w:t>
      </w:r>
      <w:proofErr w:type="gramStart"/>
      <w:r w:rsidRPr="000E1427">
        <w:rPr>
          <w:rFonts w:ascii="Helvetica" w:eastAsia="Times New Roman" w:hAnsi="Helvetica" w:cs="Times New Roman"/>
          <w:color w:val="222222"/>
          <w:kern w:val="0"/>
          <w14:ligatures w14:val="none"/>
        </w:rPr>
        <w:t>2025</w:t>
      </w:r>
      <w:proofErr w:type="gramEnd"/>
      <w:r w:rsidRPr="000E1427">
        <w:rPr>
          <w:rFonts w:ascii="Helvetica" w:eastAsia="Times New Roman" w:hAnsi="Helvetica" w:cs="Times New Roman"/>
          <w:color w:val="222222"/>
          <w:kern w:val="0"/>
          <w14:ligatures w14:val="none"/>
        </w:rPr>
        <w:t> </w:t>
      </w:r>
      <w:r w:rsidRPr="000E1427">
        <w:rPr>
          <w:rFonts w:ascii="Helvetica" w:eastAsia="Times New Roman" w:hAnsi="Helvetica" w:cs="Times New Roman"/>
          <w:color w:val="999999"/>
          <w:kern w:val="0"/>
          <w14:ligatures w14:val="none"/>
        </w:rPr>
        <w:t>|</w:t>
      </w:r>
      <w:r w:rsidRPr="000E1427">
        <w:rPr>
          <w:rFonts w:ascii="Helvetica" w:eastAsia="Times New Roman" w:hAnsi="Helvetica" w:cs="Times New Roman"/>
          <w:color w:val="222222"/>
          <w:kern w:val="0"/>
          <w14:ligatures w14:val="none"/>
        </w:rPr>
        <w:t> </w:t>
      </w:r>
    </w:p>
    <w:p w14:paraId="62DD673A" w14:textId="77777777" w:rsidR="000E1427" w:rsidRPr="000E1427" w:rsidRDefault="000E1427" w:rsidP="000E1427">
      <w:pPr>
        <w:shd w:val="clear" w:color="auto" w:fill="FFFFFF"/>
        <w:spacing w:after="360" w:line="240" w:lineRule="auto"/>
        <w:outlineLvl w:val="1"/>
        <w:rPr>
          <w:rFonts w:ascii="Helvetica" w:eastAsia="Times New Roman" w:hAnsi="Helvetica" w:cs="Times New Roman"/>
          <w:color w:val="222222"/>
          <w:kern w:val="0"/>
          <w:sz w:val="36"/>
          <w:szCs w:val="36"/>
          <w14:ligatures w14:val="none"/>
        </w:rPr>
      </w:pPr>
      <w:r w:rsidRPr="000E1427">
        <w:rPr>
          <w:rFonts w:ascii="Helvetica" w:eastAsia="Times New Roman" w:hAnsi="Helvetica" w:cs="Times New Roman"/>
          <w:color w:val="222222"/>
          <w:kern w:val="0"/>
          <w:sz w:val="36"/>
          <w:szCs w:val="36"/>
          <w14:ligatures w14:val="none"/>
        </w:rPr>
        <w:t>M&amp;A is back, the S&amp;P XBI is rising again, a biotech pulled off an IPO and positive data is pulling in investors again. This may just be the industry’s new normal.</w:t>
      </w:r>
    </w:p>
    <w:p w14:paraId="62CE16F3" w14:textId="77777777" w:rsidR="000E1427" w:rsidRPr="000E1427" w:rsidRDefault="000E1427" w:rsidP="000E1427">
      <w:pPr>
        <w:shd w:val="clear" w:color="auto" w:fill="FFFFFF"/>
        <w:spacing w:before="100" w:beforeAutospacing="1"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Finally, after years of brutal recalibration, multiple biotech market biomarkers are starting to trend in the right direction. M&amp;A has returned; the S&amp;P Biotech ETF (XBI) has climbed 43% in six months; multiple </w:t>
      </w:r>
      <w:proofErr w:type="spellStart"/>
      <w:r w:rsidRPr="000E1427">
        <w:rPr>
          <w:rFonts w:ascii="Helvetica" w:eastAsia="Times New Roman" w:hAnsi="Helvetica" w:cs="Times New Roman"/>
          <w:color w:val="222222"/>
          <w:kern w:val="0"/>
          <w:sz w:val="27"/>
          <w:szCs w:val="27"/>
          <w14:ligatures w14:val="none"/>
        </w:rPr>
        <w:t>biotechs</w:t>
      </w:r>
      <w:proofErr w:type="spellEnd"/>
      <w:r w:rsidRPr="000E1427">
        <w:rPr>
          <w:rFonts w:ascii="Helvetica" w:eastAsia="Times New Roman" w:hAnsi="Helvetica" w:cs="Times New Roman"/>
          <w:color w:val="222222"/>
          <w:kern w:val="0"/>
          <w:sz w:val="27"/>
          <w:szCs w:val="27"/>
          <w14:ligatures w14:val="none"/>
        </w:rPr>
        <w:t xml:space="preserve"> have issued positive, exciting news that reinvigorated investors; venture capital picked up in the third quarter with multiple </w:t>
      </w:r>
      <w:proofErr w:type="spellStart"/>
      <w:r w:rsidRPr="000E1427">
        <w:rPr>
          <w:rFonts w:ascii="Helvetica" w:eastAsia="Times New Roman" w:hAnsi="Helvetica" w:cs="Times New Roman"/>
          <w:color w:val="222222"/>
          <w:kern w:val="0"/>
          <w:sz w:val="27"/>
          <w:szCs w:val="27"/>
          <w14:ligatures w14:val="none"/>
        </w:rPr>
        <w:t>megarounds</w:t>
      </w:r>
      <w:proofErr w:type="spellEnd"/>
      <w:r w:rsidRPr="000E1427">
        <w:rPr>
          <w:rFonts w:ascii="Helvetica" w:eastAsia="Times New Roman" w:hAnsi="Helvetica" w:cs="Times New Roman"/>
          <w:color w:val="222222"/>
          <w:kern w:val="0"/>
          <w:sz w:val="27"/>
          <w:szCs w:val="27"/>
          <w14:ligatures w14:val="none"/>
        </w:rPr>
        <w:t>, particularly those with crossover interest; and at least one biotech has pulled off a successful IPO.</w:t>
      </w:r>
    </w:p>
    <w:p w14:paraId="17536449"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“All of the elements that you would normally expect to drive a rally have converged and occurred over the last few weeks,” Maha Katabi, general partner for </w:t>
      </w:r>
      <w:proofErr w:type="spellStart"/>
      <w:r w:rsidRPr="000E1427">
        <w:rPr>
          <w:rFonts w:ascii="Helvetica" w:eastAsia="Times New Roman" w:hAnsi="Helvetica" w:cs="Times New Roman"/>
          <w:color w:val="222222"/>
          <w:kern w:val="0"/>
          <w:sz w:val="27"/>
          <w:szCs w:val="27"/>
          <w14:ligatures w14:val="none"/>
        </w:rPr>
        <w:t>Sofinnova</w:t>
      </w:r>
      <w:proofErr w:type="spellEnd"/>
      <w:r w:rsidRPr="000E1427">
        <w:rPr>
          <w:rFonts w:ascii="Helvetica" w:eastAsia="Times New Roman" w:hAnsi="Helvetica" w:cs="Times New Roman"/>
          <w:color w:val="222222"/>
          <w:kern w:val="0"/>
          <w:sz w:val="27"/>
          <w:szCs w:val="27"/>
          <w14:ligatures w14:val="none"/>
        </w:rPr>
        <w:t xml:space="preserve"> Investments, told </w:t>
      </w:r>
      <w:proofErr w:type="spellStart"/>
      <w:r w:rsidRPr="000E1427">
        <w:rPr>
          <w:rFonts w:ascii="Helvetica" w:eastAsia="Times New Roman" w:hAnsi="Helvetica" w:cs="Times New Roman"/>
          <w:i/>
          <w:iCs/>
          <w:color w:val="222222"/>
          <w:kern w:val="0"/>
          <w:sz w:val="27"/>
          <w:szCs w:val="27"/>
          <w14:ligatures w14:val="none"/>
        </w:rPr>
        <w:t>BioSpace</w:t>
      </w:r>
      <w:proofErr w:type="spellEnd"/>
      <w:r w:rsidRPr="000E1427">
        <w:rPr>
          <w:rFonts w:ascii="Helvetica" w:eastAsia="Times New Roman" w:hAnsi="Helvetica" w:cs="Times New Roman"/>
          <w:color w:val="222222"/>
          <w:kern w:val="0"/>
          <w:sz w:val="27"/>
          <w:szCs w:val="27"/>
          <w14:ligatures w14:val="none"/>
        </w:rPr>
        <w:t> in an interview.</w:t>
      </w:r>
    </w:p>
    <w:p w14:paraId="753B0F98"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While this is a welcome sign, experts say there’s still a way to go before declaring the industry back from the brink.</w:t>
      </w:r>
    </w:p>
    <w:p w14:paraId="75D23A91"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“I’m not really sure if biotech is back, but I think companies with good data will find capital available,” said Akshay Rai, principal at Premji Invest, which participated in a $150 million series D for AI biotech </w:t>
      </w:r>
      <w:proofErr w:type="spellStart"/>
      <w:r w:rsidRPr="000E1427">
        <w:rPr>
          <w:rFonts w:ascii="Helvetica" w:eastAsia="Times New Roman" w:hAnsi="Helvetica" w:cs="Times New Roman"/>
          <w:color w:val="222222"/>
          <w:kern w:val="0"/>
          <w:sz w:val="27"/>
          <w:szCs w:val="27"/>
          <w14:ligatures w14:val="none"/>
        </w:rPr>
        <w:t>Enveda</w:t>
      </w:r>
      <w:proofErr w:type="spellEnd"/>
      <w:r w:rsidRPr="000E1427">
        <w:rPr>
          <w:rFonts w:ascii="Helvetica" w:eastAsia="Times New Roman" w:hAnsi="Helvetica" w:cs="Times New Roman"/>
          <w:color w:val="222222"/>
          <w:kern w:val="0"/>
          <w:sz w:val="27"/>
          <w:szCs w:val="27"/>
          <w14:ligatures w14:val="none"/>
        </w:rPr>
        <w:t xml:space="preserve"> in September.</w:t>
      </w:r>
    </w:p>
    <w:p w14:paraId="1D1DD2BA"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Bill Gadless, founding partner of healthcare and pharma marketing firm </w:t>
      </w:r>
      <w:proofErr w:type="spellStart"/>
      <w:r w:rsidRPr="000E1427">
        <w:rPr>
          <w:rFonts w:ascii="Helvetica" w:eastAsia="Times New Roman" w:hAnsi="Helvetica" w:cs="Times New Roman"/>
          <w:color w:val="222222"/>
          <w:kern w:val="0"/>
          <w:sz w:val="27"/>
          <w:szCs w:val="27"/>
          <w14:ligatures w14:val="none"/>
        </w:rPr>
        <w:t>emagineHealth</w:t>
      </w:r>
      <w:proofErr w:type="spellEnd"/>
      <w:r w:rsidRPr="000E1427">
        <w:rPr>
          <w:rFonts w:ascii="Helvetica" w:eastAsia="Times New Roman" w:hAnsi="Helvetica" w:cs="Times New Roman"/>
          <w:color w:val="222222"/>
          <w:kern w:val="0"/>
          <w:sz w:val="27"/>
          <w:szCs w:val="27"/>
          <w14:ligatures w14:val="none"/>
        </w:rPr>
        <w:t>, agreed. “It’s the first durable rally we’ve seen since the pre-pandemic cycles,” he </w:t>
      </w:r>
      <w:hyperlink r:id="rId5" w:tgtFrame="_blank" w:history="1">
        <w:r w:rsidRPr="000E1427">
          <w:rPr>
            <w:rFonts w:ascii="Helvetica" w:eastAsia="Times New Roman" w:hAnsi="Helvetica" w:cs="Times New Roman"/>
            <w:color w:val="222222"/>
            <w:kern w:val="0"/>
            <w:sz w:val="27"/>
            <w:szCs w:val="27"/>
            <w:u w:val="single"/>
            <w14:ligatures w14:val="none"/>
          </w:rPr>
          <w:t>wrote in a LinkedIn post</w:t>
        </w:r>
      </w:hyperlink>
      <w:r w:rsidRPr="000E1427">
        <w:rPr>
          <w:rFonts w:ascii="Helvetica" w:eastAsia="Times New Roman" w:hAnsi="Helvetica" w:cs="Times New Roman"/>
          <w:color w:val="222222"/>
          <w:kern w:val="0"/>
          <w:sz w:val="27"/>
          <w:szCs w:val="27"/>
          <w14:ligatures w14:val="none"/>
        </w:rPr>
        <w:t> last week. “But don’t confuse motion with momentum. This wasn’t a market comeback. It was a filter tightening.”</w:t>
      </w:r>
    </w:p>
    <w:p w14:paraId="1C29DB66" w14:textId="77777777" w:rsidR="000E1427" w:rsidRPr="000E1427" w:rsidRDefault="000E1427" w:rsidP="000E1427">
      <w:pPr>
        <w:shd w:val="clear" w:color="auto" w:fill="FFFFFF"/>
        <w:spacing w:after="0" w:line="240" w:lineRule="auto"/>
        <w:outlineLvl w:val="1"/>
        <w:rPr>
          <w:rFonts w:ascii="Helvetica" w:eastAsia="Times New Roman" w:hAnsi="Helvetica" w:cs="Times New Roman"/>
          <w:b/>
          <w:bCs/>
          <w:color w:val="222222"/>
          <w:spacing w:val="-8"/>
          <w:kern w:val="0"/>
          <w:sz w:val="30"/>
          <w:szCs w:val="30"/>
          <w14:ligatures w14:val="none"/>
        </w:rPr>
      </w:pPr>
      <w:r w:rsidRPr="000E1427">
        <w:rPr>
          <w:rFonts w:ascii="Helvetica" w:eastAsia="Times New Roman" w:hAnsi="Helvetica" w:cs="Times New Roman"/>
          <w:b/>
          <w:bCs/>
          <w:color w:val="222222"/>
          <w:spacing w:val="-8"/>
          <w:kern w:val="0"/>
          <w:sz w:val="30"/>
          <w:szCs w:val="30"/>
          <w14:ligatures w14:val="none"/>
        </w:rPr>
        <w:t>Defensive Signals</w:t>
      </w:r>
    </w:p>
    <w:p w14:paraId="0CD2A9E1"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The experts zeroed in on the </w:t>
      </w:r>
      <w:proofErr w:type="spellStart"/>
      <w:r w:rsidRPr="000E1427">
        <w:rPr>
          <w:rFonts w:ascii="Helvetica" w:eastAsia="Times New Roman" w:hAnsi="Helvetica" w:cs="Times New Roman"/>
          <w:color w:val="222222"/>
          <w:kern w:val="0"/>
          <w:sz w:val="27"/>
          <w:szCs w:val="27"/>
          <w14:ligatures w14:val="none"/>
        </w:rPr>
        <w:t>megarounds</w:t>
      </w:r>
      <w:proofErr w:type="spellEnd"/>
      <w:r w:rsidRPr="000E1427">
        <w:rPr>
          <w:rFonts w:ascii="Helvetica" w:eastAsia="Times New Roman" w:hAnsi="Helvetica" w:cs="Times New Roman"/>
          <w:color w:val="222222"/>
          <w:kern w:val="0"/>
          <w:sz w:val="27"/>
          <w:szCs w:val="27"/>
          <w14:ligatures w14:val="none"/>
        </w:rPr>
        <w:t>—a seemingly strong signal of market interest, but not a telltale signal of the sector’s health. Katabi posited that firms are raising money to shield themselves in the unpredictable macroenvironment.</w:t>
      </w:r>
    </w:p>
    <w:p w14:paraId="08CBDDB4"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“A lot of these financings are to me a defensive sign with respect to what might happen next in the market,” she said. “Because if you’re fully funded as a private company to hit clinical, meaningful catalysts, that’s what you need to continue to create value, regardless of where the market lands.”</w:t>
      </w:r>
    </w:p>
    <w:p w14:paraId="10050860"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lastRenderedPageBreak/>
        <w:t xml:space="preserve">Mayo Venture Partner Audrey Greenberg said the rally has continued a trend of concentration defined by larger checks to fewer companies. She pointed to massive raises like </w:t>
      </w:r>
      <w:proofErr w:type="spellStart"/>
      <w:r w:rsidRPr="000E1427">
        <w:rPr>
          <w:rFonts w:ascii="Helvetica" w:eastAsia="Times New Roman" w:hAnsi="Helvetica" w:cs="Times New Roman"/>
          <w:color w:val="222222"/>
          <w:kern w:val="0"/>
          <w:sz w:val="27"/>
          <w:szCs w:val="27"/>
          <w14:ligatures w14:val="none"/>
        </w:rPr>
        <w:t>Kailera’s</w:t>
      </w:r>
      <w:proofErr w:type="spellEnd"/>
      <w:r w:rsidRPr="000E1427">
        <w:rPr>
          <w:rFonts w:ascii="Helvetica" w:eastAsia="Times New Roman" w:hAnsi="Helvetica" w:cs="Times New Roman"/>
          <w:color w:val="222222"/>
          <w:kern w:val="0"/>
          <w:sz w:val="27"/>
          <w:szCs w:val="27"/>
          <w14:ligatures w14:val="none"/>
        </w:rPr>
        <w:t> </w:t>
      </w:r>
      <w:hyperlink r:id="rId6" w:tgtFrame="_blank" w:history="1">
        <w:r w:rsidRPr="000E1427">
          <w:rPr>
            <w:rFonts w:ascii="Helvetica" w:eastAsia="Times New Roman" w:hAnsi="Helvetica" w:cs="Times New Roman"/>
            <w:color w:val="222222"/>
            <w:kern w:val="0"/>
            <w:sz w:val="27"/>
            <w:szCs w:val="27"/>
            <w:u w:val="single"/>
            <w14:ligatures w14:val="none"/>
          </w:rPr>
          <w:t>$600 million series B</w:t>
        </w:r>
      </w:hyperlink>
      <w:r w:rsidRPr="000E1427">
        <w:rPr>
          <w:rFonts w:ascii="Helvetica" w:eastAsia="Times New Roman" w:hAnsi="Helvetica" w:cs="Times New Roman"/>
          <w:color w:val="222222"/>
          <w:kern w:val="0"/>
          <w:sz w:val="27"/>
          <w:szCs w:val="27"/>
          <w14:ligatures w14:val="none"/>
        </w:rPr>
        <w:t xml:space="preserve"> for a Phase III obesity trial and </w:t>
      </w:r>
      <w:proofErr w:type="spellStart"/>
      <w:r w:rsidRPr="000E1427">
        <w:rPr>
          <w:rFonts w:ascii="Helvetica" w:eastAsia="Times New Roman" w:hAnsi="Helvetica" w:cs="Times New Roman"/>
          <w:color w:val="222222"/>
          <w:kern w:val="0"/>
          <w:sz w:val="27"/>
          <w:szCs w:val="27"/>
          <w14:ligatures w14:val="none"/>
        </w:rPr>
        <w:t>Tubulis</w:t>
      </w:r>
      <w:proofErr w:type="spellEnd"/>
      <w:r w:rsidRPr="000E1427">
        <w:rPr>
          <w:rFonts w:ascii="Helvetica" w:eastAsia="Times New Roman" w:hAnsi="Helvetica" w:cs="Times New Roman"/>
          <w:color w:val="222222"/>
          <w:kern w:val="0"/>
          <w:sz w:val="27"/>
          <w:szCs w:val="27"/>
          <w14:ligatures w14:val="none"/>
        </w:rPr>
        <w:t>’ </w:t>
      </w:r>
      <w:hyperlink r:id="rId7" w:tgtFrame="_blank" w:history="1">
        <w:r w:rsidRPr="000E1427">
          <w:rPr>
            <w:rFonts w:ascii="Helvetica" w:eastAsia="Times New Roman" w:hAnsi="Helvetica" w:cs="Times New Roman"/>
            <w:color w:val="222222"/>
            <w:kern w:val="0"/>
            <w:sz w:val="27"/>
            <w:szCs w:val="27"/>
            <w:u w:val="single"/>
            <w14:ligatures w14:val="none"/>
          </w:rPr>
          <w:t>$361 million series C</w:t>
        </w:r>
      </w:hyperlink>
      <w:r w:rsidRPr="000E1427">
        <w:rPr>
          <w:rFonts w:ascii="Helvetica" w:eastAsia="Times New Roman" w:hAnsi="Helvetica" w:cs="Times New Roman"/>
          <w:color w:val="222222"/>
          <w:kern w:val="0"/>
          <w:sz w:val="27"/>
          <w:szCs w:val="27"/>
          <w14:ligatures w14:val="none"/>
        </w:rPr>
        <w:t> to support its next-gen ADC therapies.</w:t>
      </w:r>
    </w:p>
    <w:p w14:paraId="2C1F1761"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“There is a fresh burst of mega checks, but it’s in areas of concentration rather than a broad rising tide,” Greenberg said in an email to </w:t>
      </w:r>
      <w:proofErr w:type="spellStart"/>
      <w:r w:rsidRPr="000E1427">
        <w:rPr>
          <w:rFonts w:ascii="Helvetica" w:eastAsia="Times New Roman" w:hAnsi="Helvetica" w:cs="Times New Roman"/>
          <w:i/>
          <w:iCs/>
          <w:color w:val="222222"/>
          <w:kern w:val="0"/>
          <w:sz w:val="27"/>
          <w:szCs w:val="27"/>
          <w14:ligatures w14:val="none"/>
        </w:rPr>
        <w:t>BioSpace</w:t>
      </w:r>
      <w:proofErr w:type="spellEnd"/>
      <w:r w:rsidRPr="000E1427">
        <w:rPr>
          <w:rFonts w:ascii="Helvetica" w:eastAsia="Times New Roman" w:hAnsi="Helvetica" w:cs="Times New Roman"/>
          <w:color w:val="222222"/>
          <w:kern w:val="0"/>
          <w:sz w:val="27"/>
          <w:szCs w:val="27"/>
          <w14:ligatures w14:val="none"/>
        </w:rPr>
        <w:t xml:space="preserve">. “Hot themes and later-stage names are getting outsized dollars while early deals are still quite tight.” Many of the larger </w:t>
      </w:r>
      <w:proofErr w:type="spellStart"/>
      <w:r w:rsidRPr="000E1427">
        <w:rPr>
          <w:rFonts w:ascii="Helvetica" w:eastAsia="Times New Roman" w:hAnsi="Helvetica" w:cs="Times New Roman"/>
          <w:color w:val="222222"/>
          <w:kern w:val="0"/>
          <w:sz w:val="27"/>
          <w:szCs w:val="27"/>
          <w14:ligatures w14:val="none"/>
        </w:rPr>
        <w:t>megarounds</w:t>
      </w:r>
      <w:proofErr w:type="spellEnd"/>
      <w:r w:rsidRPr="000E1427">
        <w:rPr>
          <w:rFonts w:ascii="Helvetica" w:eastAsia="Times New Roman" w:hAnsi="Helvetica" w:cs="Times New Roman"/>
          <w:color w:val="222222"/>
          <w:kern w:val="0"/>
          <w:sz w:val="27"/>
          <w:szCs w:val="27"/>
          <w14:ligatures w14:val="none"/>
        </w:rPr>
        <w:t xml:space="preserve"> have included sovereigns and large general partners, which suggest “deep-pocketed capital picking category leaders,” Greenberg added.</w:t>
      </w:r>
    </w:p>
    <w:p w14:paraId="3FD0A92C"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Obesity and AI are the big winners, plus oncology headlines like ADCs. “Call it what it is: an AI summer and a biotech winter, coexisting in the same ecosystem,” </w:t>
      </w:r>
      <w:proofErr w:type="spellStart"/>
      <w:r w:rsidRPr="000E1427">
        <w:rPr>
          <w:rFonts w:ascii="Helvetica" w:eastAsia="Times New Roman" w:hAnsi="Helvetica" w:cs="Times New Roman"/>
          <w:color w:val="222222"/>
          <w:kern w:val="0"/>
          <w:sz w:val="27"/>
          <w:szCs w:val="27"/>
          <w14:ligatures w14:val="none"/>
        </w:rPr>
        <w:t>Gadless</w:t>
      </w:r>
      <w:proofErr w:type="spellEnd"/>
      <w:r w:rsidRPr="000E1427">
        <w:rPr>
          <w:rFonts w:ascii="Helvetica" w:eastAsia="Times New Roman" w:hAnsi="Helvetica" w:cs="Times New Roman"/>
          <w:color w:val="222222"/>
          <w:kern w:val="0"/>
          <w:sz w:val="27"/>
          <w:szCs w:val="27"/>
          <w14:ligatures w14:val="none"/>
        </w:rPr>
        <w:t xml:space="preserve"> wrote. “If you’re ARCH, </w:t>
      </w:r>
      <w:proofErr w:type="spellStart"/>
      <w:r w:rsidRPr="000E1427">
        <w:rPr>
          <w:rFonts w:ascii="Helvetica" w:eastAsia="Times New Roman" w:hAnsi="Helvetica" w:cs="Times New Roman"/>
          <w:color w:val="222222"/>
          <w:kern w:val="0"/>
          <w:sz w:val="27"/>
          <w:szCs w:val="27"/>
          <w14:ligatures w14:val="none"/>
        </w:rPr>
        <w:t>OrbiMed</w:t>
      </w:r>
      <w:proofErr w:type="spellEnd"/>
      <w:r w:rsidRPr="000E1427">
        <w:rPr>
          <w:rFonts w:ascii="Helvetica" w:eastAsia="Times New Roman" w:hAnsi="Helvetica" w:cs="Times New Roman"/>
          <w:color w:val="222222"/>
          <w:kern w:val="0"/>
          <w:sz w:val="27"/>
          <w:szCs w:val="27"/>
          <w14:ligatures w14:val="none"/>
        </w:rPr>
        <w:t>, or RA Capital, you’re writing nine-figure checks to Phase 2+ companies with data, patents, and pharma partners. If you’re a founder without human data, you’re not even in the conversation.”</w:t>
      </w:r>
    </w:p>
    <w:p w14:paraId="42F6DB05"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Indeed, seed and series A volumes tumbled in the second quarter, Greenberg said, suggesting a still-depressed environment for early-stage fundraising. First </w:t>
      </w:r>
      <w:proofErr w:type="gramStart"/>
      <w:r w:rsidRPr="000E1427">
        <w:rPr>
          <w:rFonts w:ascii="Helvetica" w:eastAsia="Times New Roman" w:hAnsi="Helvetica" w:cs="Times New Roman"/>
          <w:color w:val="222222"/>
          <w:kern w:val="0"/>
          <w:sz w:val="27"/>
          <w:szCs w:val="27"/>
          <w14:ligatures w14:val="none"/>
        </w:rPr>
        <w:t>financings</w:t>
      </w:r>
      <w:proofErr w:type="gramEnd"/>
      <w:r w:rsidRPr="000E1427">
        <w:rPr>
          <w:rFonts w:ascii="Helvetica" w:eastAsia="Times New Roman" w:hAnsi="Helvetica" w:cs="Times New Roman"/>
          <w:color w:val="222222"/>
          <w:kern w:val="0"/>
          <w:sz w:val="27"/>
          <w:szCs w:val="27"/>
          <w14:ligatures w14:val="none"/>
        </w:rPr>
        <w:t xml:space="preserve"> in particular hit multi-quarter lows, pointing to trouble for new company formation, she noted.</w:t>
      </w:r>
    </w:p>
    <w:p w14:paraId="133D2716"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“So yes, megadeals are back but they’re </w:t>
      </w:r>
      <w:proofErr w:type="spellStart"/>
      <w:r w:rsidRPr="000E1427">
        <w:rPr>
          <w:rFonts w:ascii="Helvetica" w:eastAsia="Times New Roman" w:hAnsi="Helvetica" w:cs="Times New Roman"/>
          <w:color w:val="222222"/>
          <w:kern w:val="0"/>
          <w:sz w:val="27"/>
          <w:szCs w:val="27"/>
          <w14:ligatures w14:val="none"/>
        </w:rPr>
        <w:t>barbelled</w:t>
      </w:r>
      <w:proofErr w:type="spellEnd"/>
      <w:r w:rsidRPr="000E1427">
        <w:rPr>
          <w:rFonts w:ascii="Helvetica" w:eastAsia="Times New Roman" w:hAnsi="Helvetica" w:cs="Times New Roman"/>
          <w:color w:val="222222"/>
          <w:kern w:val="0"/>
          <w:sz w:val="27"/>
          <w:szCs w:val="27"/>
          <w14:ligatures w14:val="none"/>
        </w:rPr>
        <w:t xml:space="preserve"> with a few winners raising $200M–$600M while company formation and A-rounds are struggling,” Greenberg said.</w:t>
      </w:r>
    </w:p>
    <w:p w14:paraId="2C11296C"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Rai agreed but said that one positive is that early-stage rounds, while still hard to come by, do seem to be ticking up in size, with investors writing bigger checks to safeguard against a rocky market.</w:t>
      </w:r>
    </w:p>
    <w:p w14:paraId="296ED114"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“They are now budgeting for a longer runway,” Rai said of early-stage investors. “The earlier rounds are bigger because investors realize that companies need to achieve a broader set of milestones before they can get later-stage investors involved.”</w:t>
      </w:r>
    </w:p>
    <w:p w14:paraId="1B57B2A0"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Biotechs also cannot go public as quickly as they did in the pandemic heyday, from 2021 to early 2022, when many pre-clinical companies did IPOs, only to languish on the markets.</w:t>
      </w:r>
    </w:p>
    <w:p w14:paraId="0E6C6D1C"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“All of those companies are yet to get a drug to approval, or even to very late stages, which has kind of created a little bit of skepticism around what needs to be done before you [IPO],” Rai said.</w:t>
      </w:r>
    </w:p>
    <w:p w14:paraId="70A27B7F"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Companies nowadays must have hard data and advanced assets to even think about going public.</w:t>
      </w:r>
    </w:p>
    <w:p w14:paraId="2468BD69"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LB Pharma—which has been around since about 2017, according to data from </w:t>
      </w:r>
      <w:proofErr w:type="spellStart"/>
      <w:r w:rsidRPr="000E1427">
        <w:rPr>
          <w:rFonts w:ascii="Helvetica" w:eastAsia="Times New Roman" w:hAnsi="Helvetica" w:cs="Times New Roman"/>
          <w:color w:val="222222"/>
          <w:kern w:val="0"/>
          <w:sz w:val="27"/>
          <w:szCs w:val="27"/>
          <w14:ligatures w14:val="none"/>
        </w:rPr>
        <w:t>PitchBook</w:t>
      </w:r>
      <w:proofErr w:type="spellEnd"/>
      <w:r w:rsidRPr="000E1427">
        <w:rPr>
          <w:rFonts w:ascii="Helvetica" w:eastAsia="Times New Roman" w:hAnsi="Helvetica" w:cs="Times New Roman"/>
          <w:color w:val="222222"/>
          <w:kern w:val="0"/>
          <w:sz w:val="27"/>
          <w:szCs w:val="27"/>
          <w14:ligatures w14:val="none"/>
        </w:rPr>
        <w:t>—successfully broke the </w:t>
      </w:r>
      <w:hyperlink r:id="rId8" w:tgtFrame="_blank" w:history="1">
        <w:r w:rsidRPr="000E1427">
          <w:rPr>
            <w:rFonts w:ascii="Helvetica" w:eastAsia="Times New Roman" w:hAnsi="Helvetica" w:cs="Times New Roman"/>
            <w:color w:val="222222"/>
            <w:kern w:val="0"/>
            <w:sz w:val="27"/>
            <w:szCs w:val="27"/>
            <w:u w:val="single"/>
            <w14:ligatures w14:val="none"/>
          </w:rPr>
          <w:t>IPO stalemate</w:t>
        </w:r>
      </w:hyperlink>
      <w:r w:rsidRPr="000E1427">
        <w:rPr>
          <w:rFonts w:ascii="Helvetica" w:eastAsia="Times New Roman" w:hAnsi="Helvetica" w:cs="Times New Roman"/>
          <w:color w:val="222222"/>
          <w:kern w:val="0"/>
          <w:sz w:val="27"/>
          <w:szCs w:val="27"/>
          <w14:ligatures w14:val="none"/>
        </w:rPr>
        <w:t> in September. The biotech is centered around a new formulation of a schizophrenia drug that’s already approved in Europe, with a Phase III trial slated to begin early next year.</w:t>
      </w:r>
    </w:p>
    <w:p w14:paraId="61372BCD"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lastRenderedPageBreak/>
        <w:t>“I wouldn’t say the IPO market is closed for biotech. I would say what is happening is the companies going public need to have enough talking points to build up that excitement,” Rai said.</w:t>
      </w:r>
    </w:p>
    <w:p w14:paraId="1C983C54"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That can be challenging for smaller companies with just one portfolio asset right now, whether they are pitching for a regular </w:t>
      </w:r>
      <w:proofErr w:type="gramStart"/>
      <w:r w:rsidRPr="000E1427">
        <w:rPr>
          <w:rFonts w:ascii="Helvetica" w:eastAsia="Times New Roman" w:hAnsi="Helvetica" w:cs="Times New Roman"/>
          <w:color w:val="222222"/>
          <w:kern w:val="0"/>
          <w:sz w:val="27"/>
          <w:szCs w:val="27"/>
          <w14:ligatures w14:val="none"/>
        </w:rPr>
        <w:t>fundraise</w:t>
      </w:r>
      <w:proofErr w:type="gramEnd"/>
      <w:r w:rsidRPr="000E1427">
        <w:rPr>
          <w:rFonts w:ascii="Helvetica" w:eastAsia="Times New Roman" w:hAnsi="Helvetica" w:cs="Times New Roman"/>
          <w:color w:val="222222"/>
          <w:kern w:val="0"/>
          <w:sz w:val="27"/>
          <w:szCs w:val="27"/>
          <w14:ligatures w14:val="none"/>
        </w:rPr>
        <w:t>, crossover interest or an IPO. In the pandemic craze, companies had a wide range of willing investors interested at any stage. That’s not the case anymore, Rai said: “Now there is a little bit of a vacuum in terms of how many investors you can approach for some of these.”</w:t>
      </w:r>
    </w:p>
    <w:p w14:paraId="174F28BA"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“From 2020–2022, startups could raise on a slide deck and a dream. In 2025, you need proof, pedigree, and a plan,” </w:t>
      </w:r>
      <w:proofErr w:type="spellStart"/>
      <w:r w:rsidRPr="000E1427">
        <w:rPr>
          <w:rFonts w:ascii="Helvetica" w:eastAsia="Times New Roman" w:hAnsi="Helvetica" w:cs="Times New Roman"/>
          <w:color w:val="222222"/>
          <w:kern w:val="0"/>
          <w:sz w:val="27"/>
          <w:szCs w:val="27"/>
          <w14:ligatures w14:val="none"/>
        </w:rPr>
        <w:t>Gadless</w:t>
      </w:r>
      <w:proofErr w:type="spellEnd"/>
      <w:r w:rsidRPr="000E1427">
        <w:rPr>
          <w:rFonts w:ascii="Helvetica" w:eastAsia="Times New Roman" w:hAnsi="Helvetica" w:cs="Times New Roman"/>
          <w:color w:val="222222"/>
          <w:kern w:val="0"/>
          <w:sz w:val="27"/>
          <w:szCs w:val="27"/>
          <w14:ligatures w14:val="none"/>
        </w:rPr>
        <w:t xml:space="preserve"> wrote.</w:t>
      </w:r>
    </w:p>
    <w:p w14:paraId="52DA229D" w14:textId="77777777" w:rsidR="000E1427" w:rsidRPr="000E1427" w:rsidRDefault="000E1427" w:rsidP="000E1427">
      <w:pPr>
        <w:shd w:val="clear" w:color="auto" w:fill="FFFFFF"/>
        <w:spacing w:after="0" w:line="240" w:lineRule="auto"/>
        <w:outlineLvl w:val="1"/>
        <w:rPr>
          <w:rFonts w:ascii="Helvetica" w:eastAsia="Times New Roman" w:hAnsi="Helvetica" w:cs="Times New Roman"/>
          <w:b/>
          <w:bCs/>
          <w:color w:val="222222"/>
          <w:spacing w:val="-8"/>
          <w:kern w:val="0"/>
          <w:sz w:val="30"/>
          <w:szCs w:val="30"/>
          <w14:ligatures w14:val="none"/>
        </w:rPr>
      </w:pPr>
      <w:r w:rsidRPr="000E1427">
        <w:rPr>
          <w:rFonts w:ascii="Helvetica" w:eastAsia="Times New Roman" w:hAnsi="Helvetica" w:cs="Times New Roman"/>
          <w:b/>
          <w:bCs/>
          <w:color w:val="222222"/>
          <w:spacing w:val="-8"/>
          <w:kern w:val="0"/>
          <w:sz w:val="30"/>
          <w:szCs w:val="30"/>
          <w14:ligatures w14:val="none"/>
        </w:rPr>
        <w:t>Value Multiplication</w:t>
      </w:r>
    </w:p>
    <w:p w14:paraId="156EBFF9"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proofErr w:type="spellStart"/>
      <w:r w:rsidRPr="000E1427">
        <w:rPr>
          <w:rFonts w:ascii="Helvetica" w:eastAsia="Times New Roman" w:hAnsi="Helvetica" w:cs="Times New Roman"/>
          <w:color w:val="222222"/>
          <w:kern w:val="0"/>
          <w:sz w:val="27"/>
          <w:szCs w:val="27"/>
          <w14:ligatures w14:val="none"/>
        </w:rPr>
        <w:t>Enveda</w:t>
      </w:r>
      <w:proofErr w:type="spellEnd"/>
      <w:r w:rsidRPr="000E1427">
        <w:rPr>
          <w:rFonts w:ascii="Helvetica" w:eastAsia="Times New Roman" w:hAnsi="Helvetica" w:cs="Times New Roman"/>
          <w:color w:val="222222"/>
          <w:kern w:val="0"/>
          <w:sz w:val="27"/>
          <w:szCs w:val="27"/>
          <w14:ligatures w14:val="none"/>
        </w:rPr>
        <w:t xml:space="preserve"> has more than a dozen assets in its pipeline, all pulled from the AI-enabled </w:t>
      </w:r>
      <w:proofErr w:type="gramStart"/>
      <w:r w:rsidRPr="000E1427">
        <w:rPr>
          <w:rFonts w:ascii="Helvetica" w:eastAsia="Times New Roman" w:hAnsi="Helvetica" w:cs="Times New Roman"/>
          <w:color w:val="222222"/>
          <w:kern w:val="0"/>
          <w:sz w:val="27"/>
          <w:szCs w:val="27"/>
          <w14:ligatures w14:val="none"/>
        </w:rPr>
        <w:t>biotech’s</w:t>
      </w:r>
      <w:proofErr w:type="gramEnd"/>
      <w:r w:rsidRPr="000E1427">
        <w:rPr>
          <w:rFonts w:ascii="Helvetica" w:eastAsia="Times New Roman" w:hAnsi="Helvetica" w:cs="Times New Roman"/>
          <w:color w:val="222222"/>
          <w:kern w:val="0"/>
          <w:sz w:val="27"/>
          <w:szCs w:val="27"/>
          <w14:ligatures w14:val="none"/>
        </w:rPr>
        <w:t xml:space="preserve"> platform that searches for new therapies among plant-derived molecules. CEO Viswa </w:t>
      </w:r>
      <w:proofErr w:type="spellStart"/>
      <w:r w:rsidRPr="000E1427">
        <w:rPr>
          <w:rFonts w:ascii="Helvetica" w:eastAsia="Times New Roman" w:hAnsi="Helvetica" w:cs="Times New Roman"/>
          <w:color w:val="222222"/>
          <w:kern w:val="0"/>
          <w:sz w:val="27"/>
          <w:szCs w:val="27"/>
          <w14:ligatures w14:val="none"/>
        </w:rPr>
        <w:t>Colluru</w:t>
      </w:r>
      <w:proofErr w:type="spellEnd"/>
      <w:r w:rsidRPr="000E1427">
        <w:rPr>
          <w:rFonts w:ascii="Helvetica" w:eastAsia="Times New Roman" w:hAnsi="Helvetica" w:cs="Times New Roman"/>
          <w:color w:val="222222"/>
          <w:kern w:val="0"/>
          <w:sz w:val="27"/>
          <w:szCs w:val="27"/>
          <w14:ligatures w14:val="none"/>
        </w:rPr>
        <w:t xml:space="preserve"> said raising the company’s latest $150 </w:t>
      </w:r>
      <w:proofErr w:type="gramStart"/>
      <w:r w:rsidRPr="000E1427">
        <w:rPr>
          <w:rFonts w:ascii="Helvetica" w:eastAsia="Times New Roman" w:hAnsi="Helvetica" w:cs="Times New Roman"/>
          <w:color w:val="222222"/>
          <w:kern w:val="0"/>
          <w:sz w:val="27"/>
          <w:szCs w:val="27"/>
          <w14:ligatures w14:val="none"/>
        </w:rPr>
        <w:t>million—a</w:t>
      </w:r>
      <w:proofErr w:type="gramEnd"/>
      <w:r w:rsidRPr="000E1427">
        <w:rPr>
          <w:rFonts w:ascii="Helvetica" w:eastAsia="Times New Roman" w:hAnsi="Helvetica" w:cs="Times New Roman"/>
          <w:color w:val="222222"/>
          <w:kern w:val="0"/>
          <w:sz w:val="27"/>
          <w:szCs w:val="27"/>
          <w14:ligatures w14:val="none"/>
        </w:rPr>
        <w:t xml:space="preserve"> series D closed in September—was relatively easy. They weren’t exactly looking but existing investors were keen to contribute.</w:t>
      </w:r>
    </w:p>
    <w:p w14:paraId="54C76C40"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“It was not a round that we were needing to raise, which I think speaks a little bit to the underlying nature of the market today,” </w:t>
      </w:r>
      <w:proofErr w:type="spellStart"/>
      <w:r w:rsidRPr="000E1427">
        <w:rPr>
          <w:rFonts w:ascii="Helvetica" w:eastAsia="Times New Roman" w:hAnsi="Helvetica" w:cs="Times New Roman"/>
          <w:color w:val="222222"/>
          <w:kern w:val="0"/>
          <w:sz w:val="27"/>
          <w:szCs w:val="27"/>
          <w14:ligatures w14:val="none"/>
        </w:rPr>
        <w:t>Colluru</w:t>
      </w:r>
      <w:proofErr w:type="spellEnd"/>
      <w:r w:rsidRPr="000E1427">
        <w:rPr>
          <w:rFonts w:ascii="Helvetica" w:eastAsia="Times New Roman" w:hAnsi="Helvetica" w:cs="Times New Roman"/>
          <w:color w:val="222222"/>
          <w:kern w:val="0"/>
          <w:sz w:val="27"/>
          <w:szCs w:val="27"/>
          <w14:ligatures w14:val="none"/>
        </w:rPr>
        <w:t xml:space="preserve"> told </w:t>
      </w:r>
      <w:proofErr w:type="spellStart"/>
      <w:r w:rsidRPr="000E1427">
        <w:rPr>
          <w:rFonts w:ascii="Helvetica" w:eastAsia="Times New Roman" w:hAnsi="Helvetica" w:cs="Times New Roman"/>
          <w:i/>
          <w:iCs/>
          <w:color w:val="222222"/>
          <w:kern w:val="0"/>
          <w:sz w:val="27"/>
          <w:szCs w:val="27"/>
          <w14:ligatures w14:val="none"/>
        </w:rPr>
        <w:t>BioSpace</w:t>
      </w:r>
      <w:proofErr w:type="spellEnd"/>
      <w:r w:rsidRPr="000E1427">
        <w:rPr>
          <w:rFonts w:ascii="Helvetica" w:eastAsia="Times New Roman" w:hAnsi="Helvetica" w:cs="Times New Roman"/>
          <w:color w:val="222222"/>
          <w:kern w:val="0"/>
          <w:sz w:val="27"/>
          <w:szCs w:val="27"/>
          <w14:ligatures w14:val="none"/>
        </w:rPr>
        <w:t>. “Strong companies that have massive value multiplication opportunities and have catalysts that are proximal to or in the clinic and have validated interest from the broader ecosystem . . . are finding it relatively facile to raise.”</w:t>
      </w:r>
    </w:p>
    <w:p w14:paraId="0190C751"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The decision-making process on the raise took about a week, then about a month total to have signed term sheets in hand, </w:t>
      </w:r>
      <w:proofErr w:type="spellStart"/>
      <w:r w:rsidRPr="000E1427">
        <w:rPr>
          <w:rFonts w:ascii="Helvetica" w:eastAsia="Times New Roman" w:hAnsi="Helvetica" w:cs="Times New Roman"/>
          <w:color w:val="222222"/>
          <w:kern w:val="0"/>
          <w:sz w:val="27"/>
          <w:szCs w:val="27"/>
          <w14:ligatures w14:val="none"/>
        </w:rPr>
        <w:t>Colluru</w:t>
      </w:r>
      <w:proofErr w:type="spellEnd"/>
      <w:r w:rsidRPr="000E1427">
        <w:rPr>
          <w:rFonts w:ascii="Helvetica" w:eastAsia="Times New Roman" w:hAnsi="Helvetica" w:cs="Times New Roman"/>
          <w:color w:val="222222"/>
          <w:kern w:val="0"/>
          <w:sz w:val="27"/>
          <w:szCs w:val="27"/>
          <w14:ligatures w14:val="none"/>
        </w:rPr>
        <w:t xml:space="preserve"> explained.</w:t>
      </w:r>
    </w:p>
    <w:p w14:paraId="2A3B2FC4"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proofErr w:type="spellStart"/>
      <w:r w:rsidRPr="000E1427">
        <w:rPr>
          <w:rFonts w:ascii="Helvetica" w:eastAsia="Times New Roman" w:hAnsi="Helvetica" w:cs="Times New Roman"/>
          <w:color w:val="222222"/>
          <w:kern w:val="0"/>
          <w:sz w:val="27"/>
          <w:szCs w:val="27"/>
          <w14:ligatures w14:val="none"/>
        </w:rPr>
        <w:t>Enveda</w:t>
      </w:r>
      <w:proofErr w:type="spellEnd"/>
      <w:r w:rsidRPr="000E1427">
        <w:rPr>
          <w:rFonts w:ascii="Helvetica" w:eastAsia="Times New Roman" w:hAnsi="Helvetica" w:cs="Times New Roman"/>
          <w:color w:val="222222"/>
          <w:kern w:val="0"/>
          <w:sz w:val="27"/>
          <w:szCs w:val="27"/>
          <w14:ligatures w14:val="none"/>
        </w:rPr>
        <w:t xml:space="preserve"> raised its seed in August 2020 and a series A in June 2021. Then in 2024, fundraising accelerated with a $174 million series B in June. There was a $150 million series C this February, followed by the unexpected $150 million last month. Easy as it may have been to raise the latest funding, </w:t>
      </w:r>
      <w:proofErr w:type="spellStart"/>
      <w:r w:rsidRPr="000E1427">
        <w:rPr>
          <w:rFonts w:ascii="Helvetica" w:eastAsia="Times New Roman" w:hAnsi="Helvetica" w:cs="Times New Roman"/>
          <w:color w:val="222222"/>
          <w:kern w:val="0"/>
          <w:sz w:val="27"/>
          <w:szCs w:val="27"/>
          <w14:ligatures w14:val="none"/>
        </w:rPr>
        <w:t>Colluru</w:t>
      </w:r>
      <w:proofErr w:type="spellEnd"/>
      <w:r w:rsidRPr="000E1427">
        <w:rPr>
          <w:rFonts w:ascii="Helvetica" w:eastAsia="Times New Roman" w:hAnsi="Helvetica" w:cs="Times New Roman"/>
          <w:color w:val="222222"/>
          <w:kern w:val="0"/>
          <w:sz w:val="27"/>
          <w:szCs w:val="27"/>
          <w14:ligatures w14:val="none"/>
        </w:rPr>
        <w:t xml:space="preserve"> did admit the market is much tighter than in the early days of his company. Now, new investors are hard to come by, and companies need to play the long game and build relationships to boost their later rounds.</w:t>
      </w:r>
    </w:p>
    <w:p w14:paraId="3BA434AB"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“If you’re looking to catalyze a financing, I think it’s very important to pre-familiarize yourself with the capital base and get people interested in your story a round or two before and show that you can deliver,” </w:t>
      </w:r>
      <w:proofErr w:type="spellStart"/>
      <w:r w:rsidRPr="000E1427">
        <w:rPr>
          <w:rFonts w:ascii="Helvetica" w:eastAsia="Times New Roman" w:hAnsi="Helvetica" w:cs="Times New Roman"/>
          <w:color w:val="222222"/>
          <w:kern w:val="0"/>
          <w:sz w:val="27"/>
          <w:szCs w:val="27"/>
          <w14:ligatures w14:val="none"/>
        </w:rPr>
        <w:t>Colluru</w:t>
      </w:r>
      <w:proofErr w:type="spellEnd"/>
      <w:r w:rsidRPr="000E1427">
        <w:rPr>
          <w:rFonts w:ascii="Helvetica" w:eastAsia="Times New Roman" w:hAnsi="Helvetica" w:cs="Times New Roman"/>
          <w:color w:val="222222"/>
          <w:kern w:val="0"/>
          <w:sz w:val="27"/>
          <w:szCs w:val="27"/>
          <w14:ligatures w14:val="none"/>
        </w:rPr>
        <w:t xml:space="preserve"> said.</w:t>
      </w:r>
    </w:p>
    <w:p w14:paraId="25854785" w14:textId="77777777" w:rsidR="000E1427" w:rsidRPr="000E1427" w:rsidRDefault="000E1427" w:rsidP="000E1427">
      <w:pPr>
        <w:shd w:val="clear" w:color="auto" w:fill="FFFFFF"/>
        <w:spacing w:after="0" w:line="240" w:lineRule="auto"/>
        <w:outlineLvl w:val="1"/>
        <w:rPr>
          <w:rFonts w:ascii="Helvetica" w:eastAsia="Times New Roman" w:hAnsi="Helvetica" w:cs="Times New Roman"/>
          <w:b/>
          <w:bCs/>
          <w:color w:val="222222"/>
          <w:spacing w:val="-8"/>
          <w:kern w:val="0"/>
          <w:sz w:val="30"/>
          <w:szCs w:val="30"/>
          <w14:ligatures w14:val="none"/>
        </w:rPr>
      </w:pPr>
      <w:r w:rsidRPr="000E1427">
        <w:rPr>
          <w:rFonts w:ascii="Helvetica" w:eastAsia="Times New Roman" w:hAnsi="Helvetica" w:cs="Times New Roman"/>
          <w:b/>
          <w:bCs/>
          <w:color w:val="222222"/>
          <w:spacing w:val="-8"/>
          <w:kern w:val="0"/>
          <w:sz w:val="30"/>
          <w:szCs w:val="30"/>
          <w14:ligatures w14:val="none"/>
        </w:rPr>
        <w:t>Just Good Science</w:t>
      </w:r>
    </w:p>
    <w:p w14:paraId="05158EBD"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Other positive signals for biotech’s return have been the achievement of some clarity around policy points such as </w:t>
      </w:r>
      <w:hyperlink r:id="rId9" w:tgtFrame="_blank" w:history="1">
        <w:r w:rsidRPr="000E1427">
          <w:rPr>
            <w:rFonts w:ascii="Helvetica" w:eastAsia="Times New Roman" w:hAnsi="Helvetica" w:cs="Times New Roman"/>
            <w:color w:val="222222"/>
            <w:kern w:val="0"/>
            <w:sz w:val="27"/>
            <w:szCs w:val="27"/>
            <w:u w:val="single"/>
            <w14:ligatures w14:val="none"/>
          </w:rPr>
          <w:t>drug pricing and tariffs</w:t>
        </w:r>
      </w:hyperlink>
      <w:r w:rsidRPr="000E1427">
        <w:rPr>
          <w:rFonts w:ascii="Helvetica" w:eastAsia="Times New Roman" w:hAnsi="Helvetica" w:cs="Times New Roman"/>
          <w:color w:val="222222"/>
          <w:kern w:val="0"/>
          <w:sz w:val="27"/>
          <w:szCs w:val="27"/>
          <w14:ligatures w14:val="none"/>
        </w:rPr>
        <w:t>, which have dogged the biopharma industry since January.</w:t>
      </w:r>
    </w:p>
    <w:p w14:paraId="27119ED6"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lastRenderedPageBreak/>
        <w:t xml:space="preserve">The return of M&amp;A over the third quarter has also brought cheers from the industry. Merck bought Verona for $10 billion; Genmab nabbed Merus for $8 billion; and Pfizer snagged the inevitable M&amp;A target </w:t>
      </w:r>
      <w:proofErr w:type="spellStart"/>
      <w:r w:rsidRPr="000E1427">
        <w:rPr>
          <w:rFonts w:ascii="Helvetica" w:eastAsia="Times New Roman" w:hAnsi="Helvetica" w:cs="Times New Roman"/>
          <w:color w:val="222222"/>
          <w:kern w:val="0"/>
          <w:sz w:val="27"/>
          <w:szCs w:val="27"/>
          <w14:ligatures w14:val="none"/>
        </w:rPr>
        <w:t>Metsera</w:t>
      </w:r>
      <w:proofErr w:type="spellEnd"/>
      <w:r w:rsidRPr="000E1427">
        <w:rPr>
          <w:rFonts w:ascii="Helvetica" w:eastAsia="Times New Roman" w:hAnsi="Helvetica" w:cs="Times New Roman"/>
          <w:color w:val="222222"/>
          <w:kern w:val="0"/>
          <w:sz w:val="27"/>
          <w:szCs w:val="27"/>
          <w14:ligatures w14:val="none"/>
        </w:rPr>
        <w:t xml:space="preserve"> for $4.9 billion upfront.</w:t>
      </w:r>
    </w:p>
    <w:p w14:paraId="6A0737BB"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Big Pharma isn’t nibbling—it’s buying pipelines. “With over $230B in U.S. revenue at risk through 2030 from loss of exclusivity, refilling the pipeline isn’t optional; it’s existential,” </w:t>
      </w:r>
      <w:proofErr w:type="spellStart"/>
      <w:r w:rsidRPr="000E1427">
        <w:rPr>
          <w:rFonts w:ascii="Helvetica" w:eastAsia="Times New Roman" w:hAnsi="Helvetica" w:cs="Times New Roman"/>
          <w:color w:val="222222"/>
          <w:kern w:val="0"/>
          <w:sz w:val="27"/>
          <w:szCs w:val="27"/>
          <w14:ligatures w14:val="none"/>
        </w:rPr>
        <w:t>Gadless</w:t>
      </w:r>
      <w:proofErr w:type="spellEnd"/>
      <w:r w:rsidRPr="000E1427">
        <w:rPr>
          <w:rFonts w:ascii="Helvetica" w:eastAsia="Times New Roman" w:hAnsi="Helvetica" w:cs="Times New Roman"/>
          <w:color w:val="222222"/>
          <w:kern w:val="0"/>
          <w:sz w:val="27"/>
          <w:szCs w:val="27"/>
          <w14:ligatures w14:val="none"/>
        </w:rPr>
        <w:t xml:space="preserve"> wrote. “If pharma doesn’t acquire, it dies of R&amp;D starvation. If venture can’t exit through IPOs, it survives through M&amp;</w:t>
      </w:r>
      <w:proofErr w:type="gramStart"/>
      <w:r w:rsidRPr="000E1427">
        <w:rPr>
          <w:rFonts w:ascii="Helvetica" w:eastAsia="Times New Roman" w:hAnsi="Helvetica" w:cs="Times New Roman"/>
          <w:color w:val="222222"/>
          <w:kern w:val="0"/>
          <w:sz w:val="27"/>
          <w:szCs w:val="27"/>
          <w14:ligatures w14:val="none"/>
        </w:rPr>
        <w:t>A.”</w:t>
      </w:r>
      <w:proofErr w:type="gramEnd"/>
    </w:p>
    <w:p w14:paraId="31F1DF6B"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Deals are a great signal alone, but Katabi notes that it also means an exit for investors, allowing them to recycle that cash back into the industry.</w:t>
      </w:r>
    </w:p>
    <w:p w14:paraId="2714E796"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Another undercurrent is the recent rush of high-profile positive clinical trial readouts such as </w:t>
      </w:r>
      <w:proofErr w:type="spellStart"/>
      <w:r w:rsidRPr="000E1427">
        <w:rPr>
          <w:rFonts w:ascii="Helvetica" w:eastAsia="Times New Roman" w:hAnsi="Helvetica" w:cs="Times New Roman"/>
          <w:color w:val="222222"/>
          <w:kern w:val="0"/>
          <w:sz w:val="27"/>
          <w:szCs w:val="27"/>
          <w14:ligatures w14:val="none"/>
        </w:rPr>
        <w:fldChar w:fldCharType="begin"/>
      </w:r>
      <w:r w:rsidRPr="000E1427">
        <w:rPr>
          <w:rFonts w:ascii="Helvetica" w:eastAsia="Times New Roman" w:hAnsi="Helvetica" w:cs="Times New Roman"/>
          <w:color w:val="222222"/>
          <w:kern w:val="0"/>
          <w:sz w:val="27"/>
          <w:szCs w:val="27"/>
          <w14:ligatures w14:val="none"/>
        </w:rPr>
        <w:instrText>HYPERLINK "https://www.biospace.com/drug-development/uniqure-exceeds-expectations-in-much-anticipated-3-year-huntingtons-readout" \t "_blank"</w:instrText>
      </w:r>
      <w:r w:rsidRPr="000E1427">
        <w:rPr>
          <w:rFonts w:ascii="Helvetica" w:eastAsia="Times New Roman" w:hAnsi="Helvetica" w:cs="Times New Roman"/>
          <w:color w:val="222222"/>
          <w:kern w:val="0"/>
          <w:sz w:val="27"/>
          <w:szCs w:val="27"/>
          <w14:ligatures w14:val="none"/>
        </w:rPr>
      </w:r>
      <w:r w:rsidRPr="000E1427">
        <w:rPr>
          <w:rFonts w:ascii="Helvetica" w:eastAsia="Times New Roman" w:hAnsi="Helvetica" w:cs="Times New Roman"/>
          <w:color w:val="222222"/>
          <w:kern w:val="0"/>
          <w:sz w:val="27"/>
          <w:szCs w:val="27"/>
          <w14:ligatures w14:val="none"/>
        </w:rPr>
        <w:fldChar w:fldCharType="separate"/>
      </w:r>
      <w:r w:rsidRPr="000E1427">
        <w:rPr>
          <w:rFonts w:ascii="Helvetica" w:eastAsia="Times New Roman" w:hAnsi="Helvetica" w:cs="Times New Roman"/>
          <w:color w:val="222222"/>
          <w:kern w:val="0"/>
          <w:sz w:val="27"/>
          <w:szCs w:val="27"/>
          <w:u w:val="single"/>
          <w14:ligatures w14:val="none"/>
        </w:rPr>
        <w:t>uniQure’s</w:t>
      </w:r>
      <w:proofErr w:type="spellEnd"/>
      <w:r w:rsidRPr="000E1427">
        <w:rPr>
          <w:rFonts w:ascii="Helvetica" w:eastAsia="Times New Roman" w:hAnsi="Helvetica" w:cs="Times New Roman"/>
          <w:color w:val="222222"/>
          <w:kern w:val="0"/>
          <w:sz w:val="27"/>
          <w:szCs w:val="27"/>
          <w:u w:val="single"/>
          <w14:ligatures w14:val="none"/>
        </w:rPr>
        <w:t xml:space="preserve"> Huntington’s disease win</w:t>
      </w:r>
      <w:r w:rsidRPr="000E1427">
        <w:rPr>
          <w:rFonts w:ascii="Helvetica" w:eastAsia="Times New Roman" w:hAnsi="Helvetica" w:cs="Times New Roman"/>
          <w:color w:val="222222"/>
          <w:kern w:val="0"/>
          <w:sz w:val="27"/>
          <w:szCs w:val="27"/>
          <w14:ligatures w14:val="none"/>
        </w:rPr>
        <w:fldChar w:fldCharType="end"/>
      </w:r>
      <w:r w:rsidRPr="000E1427">
        <w:rPr>
          <w:rFonts w:ascii="Helvetica" w:eastAsia="Times New Roman" w:hAnsi="Helvetica" w:cs="Times New Roman"/>
          <w:color w:val="222222"/>
          <w:kern w:val="0"/>
          <w:sz w:val="27"/>
          <w:szCs w:val="27"/>
          <w14:ligatures w14:val="none"/>
        </w:rPr>
        <w:t>. “The rate of positivity of clinical trial catalysts was less than 40% in the first half of the year. Now we’re sitting closer to 50 or slightly above 50%,” Katabi said. This change may seem subtle, but Katabi insists it’s a big deal that can help ignite excitement in the industry.</w:t>
      </w:r>
    </w:p>
    <w:p w14:paraId="6805258E"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To fuel that excitement, though, </w:t>
      </w:r>
      <w:proofErr w:type="spellStart"/>
      <w:r w:rsidRPr="000E1427">
        <w:rPr>
          <w:rFonts w:ascii="Helvetica" w:eastAsia="Times New Roman" w:hAnsi="Helvetica" w:cs="Times New Roman"/>
          <w:color w:val="222222"/>
          <w:kern w:val="0"/>
          <w:sz w:val="27"/>
          <w:szCs w:val="27"/>
          <w14:ligatures w14:val="none"/>
        </w:rPr>
        <w:t>biotechs</w:t>
      </w:r>
      <w:proofErr w:type="spellEnd"/>
      <w:r w:rsidRPr="000E1427">
        <w:rPr>
          <w:rFonts w:ascii="Helvetica" w:eastAsia="Times New Roman" w:hAnsi="Helvetica" w:cs="Times New Roman"/>
          <w:color w:val="222222"/>
          <w:kern w:val="0"/>
          <w:sz w:val="27"/>
          <w:szCs w:val="27"/>
          <w14:ligatures w14:val="none"/>
        </w:rPr>
        <w:t xml:space="preserve"> need to come with the goods. The third quarter seems to have set a tone of discipline, which is likely the new normal, according to </w:t>
      </w:r>
      <w:proofErr w:type="spellStart"/>
      <w:r w:rsidRPr="000E1427">
        <w:rPr>
          <w:rFonts w:ascii="Helvetica" w:eastAsia="Times New Roman" w:hAnsi="Helvetica" w:cs="Times New Roman"/>
          <w:color w:val="222222"/>
          <w:kern w:val="0"/>
          <w:sz w:val="27"/>
          <w:szCs w:val="27"/>
          <w14:ligatures w14:val="none"/>
        </w:rPr>
        <w:t>Gadless</w:t>
      </w:r>
      <w:proofErr w:type="spellEnd"/>
      <w:r w:rsidRPr="000E1427">
        <w:rPr>
          <w:rFonts w:ascii="Helvetica" w:eastAsia="Times New Roman" w:hAnsi="Helvetica" w:cs="Times New Roman"/>
          <w:color w:val="222222"/>
          <w:kern w:val="0"/>
          <w:sz w:val="27"/>
          <w:szCs w:val="27"/>
          <w14:ligatures w14:val="none"/>
        </w:rPr>
        <w:t>. “Q3 didn’t bring back the party,” he wrote in his post. “It brought back reality.”</w:t>
      </w:r>
    </w:p>
    <w:p w14:paraId="287E9E0A" w14:textId="77777777" w:rsidR="000E1427" w:rsidRPr="000E1427" w:rsidRDefault="000E1427" w:rsidP="000E1427">
      <w:pPr>
        <w:shd w:val="clear" w:color="auto" w:fill="FFFFFF"/>
        <w:spacing w:before="240" w:after="240"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 xml:space="preserve">But while investors’ purse strings may not be fully open, </w:t>
      </w:r>
      <w:proofErr w:type="spellStart"/>
      <w:r w:rsidRPr="000E1427">
        <w:rPr>
          <w:rFonts w:ascii="Helvetica" w:eastAsia="Times New Roman" w:hAnsi="Helvetica" w:cs="Times New Roman"/>
          <w:color w:val="222222"/>
          <w:kern w:val="0"/>
          <w:sz w:val="27"/>
          <w:szCs w:val="27"/>
          <w14:ligatures w14:val="none"/>
        </w:rPr>
        <w:t>Colluru</w:t>
      </w:r>
      <w:proofErr w:type="spellEnd"/>
      <w:r w:rsidRPr="000E1427">
        <w:rPr>
          <w:rFonts w:ascii="Helvetica" w:eastAsia="Times New Roman" w:hAnsi="Helvetica" w:cs="Times New Roman"/>
          <w:color w:val="222222"/>
          <w:kern w:val="0"/>
          <w:sz w:val="27"/>
          <w:szCs w:val="27"/>
          <w14:ligatures w14:val="none"/>
        </w:rPr>
        <w:t xml:space="preserve"> said </w:t>
      </w:r>
      <w:proofErr w:type="gramStart"/>
      <w:r w:rsidRPr="000E1427">
        <w:rPr>
          <w:rFonts w:ascii="Helvetica" w:eastAsia="Times New Roman" w:hAnsi="Helvetica" w:cs="Times New Roman"/>
          <w:color w:val="222222"/>
          <w:kern w:val="0"/>
          <w:sz w:val="27"/>
          <w:szCs w:val="27"/>
          <w14:ligatures w14:val="none"/>
        </w:rPr>
        <w:t>the science</w:t>
      </w:r>
      <w:proofErr w:type="gramEnd"/>
      <w:r w:rsidRPr="000E1427">
        <w:rPr>
          <w:rFonts w:ascii="Helvetica" w:eastAsia="Times New Roman" w:hAnsi="Helvetica" w:cs="Times New Roman"/>
          <w:color w:val="222222"/>
          <w:kern w:val="0"/>
          <w:sz w:val="27"/>
          <w:szCs w:val="27"/>
          <w14:ligatures w14:val="none"/>
        </w:rPr>
        <w:t xml:space="preserve"> has never been better—and that, in the end, will keep biotech churning.</w:t>
      </w:r>
    </w:p>
    <w:p w14:paraId="1C81BD3A" w14:textId="77777777" w:rsidR="000E1427" w:rsidRPr="000E1427" w:rsidRDefault="000E1427" w:rsidP="000E1427">
      <w:pPr>
        <w:shd w:val="clear" w:color="auto" w:fill="FFFFFF"/>
        <w:spacing w:before="240" w:after="100" w:afterAutospacing="1" w:line="240" w:lineRule="auto"/>
        <w:rPr>
          <w:rFonts w:ascii="Helvetica" w:eastAsia="Times New Roman" w:hAnsi="Helvetica" w:cs="Times New Roman"/>
          <w:color w:val="222222"/>
          <w:kern w:val="0"/>
          <w:sz w:val="27"/>
          <w:szCs w:val="27"/>
          <w14:ligatures w14:val="none"/>
        </w:rPr>
      </w:pPr>
      <w:r w:rsidRPr="000E1427">
        <w:rPr>
          <w:rFonts w:ascii="Helvetica" w:eastAsia="Times New Roman" w:hAnsi="Helvetica" w:cs="Times New Roman"/>
          <w:color w:val="222222"/>
          <w:kern w:val="0"/>
          <w:sz w:val="27"/>
          <w:szCs w:val="27"/>
          <w14:ligatures w14:val="none"/>
        </w:rPr>
        <w:t>“My attitude has always been that if you create products that make the world a better place, then you will get to capture some of that value as a return,” he said. “The signals for that have never been stronger from a pure bottom-up perspective, in terms of the exciting science that’s going on today.”</w:t>
      </w:r>
    </w:p>
    <w:p w14:paraId="0B7E2EF9" w14:textId="77777777" w:rsidR="00F90CB3" w:rsidRDefault="00F90CB3"/>
    <w:sectPr w:rsidR="00F90CB3" w:rsidSect="000E142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D8538D"/>
    <w:multiLevelType w:val="multilevel"/>
    <w:tmpl w:val="3A78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887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427"/>
    <w:rsid w:val="000E1427"/>
    <w:rsid w:val="00801453"/>
    <w:rsid w:val="00B719E4"/>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5F9DB5"/>
  <w15:chartTrackingRefBased/>
  <w15:docId w15:val="{201D0845-4CD3-4FED-BFBC-CF9C93A8A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4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4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4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4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4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4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427"/>
    <w:rPr>
      <w:rFonts w:eastAsiaTheme="majorEastAsia" w:cstheme="majorBidi"/>
      <w:color w:val="272727" w:themeColor="text1" w:themeTint="D8"/>
    </w:rPr>
  </w:style>
  <w:style w:type="paragraph" w:styleId="Title">
    <w:name w:val="Title"/>
    <w:basedOn w:val="Normal"/>
    <w:next w:val="Normal"/>
    <w:link w:val="TitleChar"/>
    <w:uiPriority w:val="10"/>
    <w:qFormat/>
    <w:rsid w:val="000E1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427"/>
    <w:pPr>
      <w:spacing w:before="160"/>
      <w:jc w:val="center"/>
    </w:pPr>
    <w:rPr>
      <w:i/>
      <w:iCs/>
      <w:color w:val="404040" w:themeColor="text1" w:themeTint="BF"/>
    </w:rPr>
  </w:style>
  <w:style w:type="character" w:customStyle="1" w:styleId="QuoteChar">
    <w:name w:val="Quote Char"/>
    <w:basedOn w:val="DefaultParagraphFont"/>
    <w:link w:val="Quote"/>
    <w:uiPriority w:val="29"/>
    <w:rsid w:val="000E1427"/>
    <w:rPr>
      <w:i/>
      <w:iCs/>
      <w:color w:val="404040" w:themeColor="text1" w:themeTint="BF"/>
    </w:rPr>
  </w:style>
  <w:style w:type="paragraph" w:styleId="ListParagraph">
    <w:name w:val="List Paragraph"/>
    <w:basedOn w:val="Normal"/>
    <w:uiPriority w:val="34"/>
    <w:qFormat/>
    <w:rsid w:val="000E1427"/>
    <w:pPr>
      <w:ind w:left="720"/>
      <w:contextualSpacing/>
    </w:pPr>
  </w:style>
  <w:style w:type="character" w:styleId="IntenseEmphasis">
    <w:name w:val="Intense Emphasis"/>
    <w:basedOn w:val="DefaultParagraphFont"/>
    <w:uiPriority w:val="21"/>
    <w:qFormat/>
    <w:rsid w:val="000E1427"/>
    <w:rPr>
      <w:i/>
      <w:iCs/>
      <w:color w:val="0F4761" w:themeColor="accent1" w:themeShade="BF"/>
    </w:rPr>
  </w:style>
  <w:style w:type="paragraph" w:styleId="IntenseQuote">
    <w:name w:val="Intense Quote"/>
    <w:basedOn w:val="Normal"/>
    <w:next w:val="Normal"/>
    <w:link w:val="IntenseQuoteChar"/>
    <w:uiPriority w:val="30"/>
    <w:qFormat/>
    <w:rsid w:val="000E1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427"/>
    <w:rPr>
      <w:i/>
      <w:iCs/>
      <w:color w:val="0F4761" w:themeColor="accent1" w:themeShade="BF"/>
    </w:rPr>
  </w:style>
  <w:style w:type="character" w:styleId="IntenseReference">
    <w:name w:val="Intense Reference"/>
    <w:basedOn w:val="DefaultParagraphFont"/>
    <w:uiPriority w:val="32"/>
    <w:qFormat/>
    <w:rsid w:val="000E14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301676">
      <w:bodyDiv w:val="1"/>
      <w:marLeft w:val="0"/>
      <w:marRight w:val="0"/>
      <w:marTop w:val="0"/>
      <w:marBottom w:val="0"/>
      <w:divBdr>
        <w:top w:val="none" w:sz="0" w:space="0" w:color="auto"/>
        <w:left w:val="none" w:sz="0" w:space="0" w:color="auto"/>
        <w:bottom w:val="none" w:sz="0" w:space="0" w:color="auto"/>
        <w:right w:val="none" w:sz="0" w:space="0" w:color="auto"/>
      </w:divBdr>
      <w:divsChild>
        <w:div w:id="224949353">
          <w:marLeft w:val="0"/>
          <w:marRight w:val="0"/>
          <w:marTop w:val="0"/>
          <w:marBottom w:val="0"/>
          <w:divBdr>
            <w:top w:val="none" w:sz="0" w:space="0" w:color="auto"/>
            <w:left w:val="none" w:sz="0" w:space="0" w:color="auto"/>
            <w:bottom w:val="none" w:sz="0" w:space="0" w:color="auto"/>
            <w:right w:val="none" w:sz="0" w:space="0" w:color="auto"/>
          </w:divBdr>
          <w:divsChild>
            <w:div w:id="444545859">
              <w:marLeft w:val="0"/>
              <w:marRight w:val="0"/>
              <w:marTop w:val="0"/>
              <w:marBottom w:val="0"/>
              <w:divBdr>
                <w:top w:val="none" w:sz="0" w:space="0" w:color="auto"/>
                <w:left w:val="none" w:sz="0" w:space="0" w:color="auto"/>
                <w:bottom w:val="none" w:sz="0" w:space="0" w:color="auto"/>
                <w:right w:val="none" w:sz="0" w:space="0" w:color="auto"/>
              </w:divBdr>
              <w:divsChild>
                <w:div w:id="1705904142">
                  <w:marLeft w:val="0"/>
                  <w:marRight w:val="0"/>
                  <w:marTop w:val="0"/>
                  <w:marBottom w:val="0"/>
                  <w:divBdr>
                    <w:top w:val="none" w:sz="0" w:space="0" w:color="auto"/>
                    <w:left w:val="none" w:sz="0" w:space="0" w:color="auto"/>
                    <w:bottom w:val="none" w:sz="0" w:space="0" w:color="auto"/>
                    <w:right w:val="none" w:sz="0" w:space="0" w:color="auto"/>
                  </w:divBdr>
                  <w:divsChild>
                    <w:div w:id="2014070036">
                      <w:marLeft w:val="0"/>
                      <w:marRight w:val="0"/>
                      <w:marTop w:val="0"/>
                      <w:marBottom w:val="240"/>
                      <w:divBdr>
                        <w:top w:val="none" w:sz="0" w:space="0" w:color="auto"/>
                        <w:left w:val="none" w:sz="0" w:space="0" w:color="auto"/>
                        <w:bottom w:val="none" w:sz="0" w:space="0" w:color="auto"/>
                        <w:right w:val="none" w:sz="0" w:space="0" w:color="auto"/>
                      </w:divBdr>
                      <w:divsChild>
                        <w:div w:id="1907958955">
                          <w:marLeft w:val="0"/>
                          <w:marRight w:val="0"/>
                          <w:marTop w:val="0"/>
                          <w:marBottom w:val="0"/>
                          <w:divBdr>
                            <w:top w:val="none" w:sz="0" w:space="0" w:color="auto"/>
                            <w:left w:val="none" w:sz="0" w:space="0" w:color="auto"/>
                            <w:bottom w:val="none" w:sz="0" w:space="0" w:color="auto"/>
                            <w:right w:val="none" w:sz="0" w:space="0" w:color="auto"/>
                          </w:divBdr>
                        </w:div>
                        <w:div w:id="1287397525">
                          <w:marLeft w:val="0"/>
                          <w:marRight w:val="0"/>
                          <w:marTop w:val="0"/>
                          <w:marBottom w:val="0"/>
                          <w:divBdr>
                            <w:top w:val="none" w:sz="0" w:space="0" w:color="auto"/>
                            <w:left w:val="none" w:sz="0" w:space="0" w:color="auto"/>
                            <w:bottom w:val="none" w:sz="0" w:space="0" w:color="auto"/>
                            <w:right w:val="none" w:sz="0" w:space="0" w:color="auto"/>
                          </w:divBdr>
                        </w:div>
                        <w:div w:id="2002461588">
                          <w:marLeft w:val="0"/>
                          <w:marRight w:val="0"/>
                          <w:marTop w:val="0"/>
                          <w:marBottom w:val="0"/>
                          <w:divBdr>
                            <w:top w:val="none" w:sz="0" w:space="0" w:color="auto"/>
                            <w:left w:val="none" w:sz="0" w:space="0" w:color="auto"/>
                            <w:bottom w:val="none" w:sz="0" w:space="0" w:color="auto"/>
                            <w:right w:val="none" w:sz="0" w:space="0" w:color="auto"/>
                          </w:divBdr>
                        </w:div>
                      </w:divsChild>
                    </w:div>
                    <w:div w:id="139274602">
                      <w:marLeft w:val="0"/>
                      <w:marRight w:val="0"/>
                      <w:marTop w:val="0"/>
                      <w:marBottom w:val="600"/>
                      <w:divBdr>
                        <w:top w:val="none" w:sz="0" w:space="0" w:color="auto"/>
                        <w:left w:val="none" w:sz="0" w:space="0" w:color="auto"/>
                        <w:bottom w:val="none" w:sz="0" w:space="0" w:color="auto"/>
                        <w:right w:val="none" w:sz="0" w:space="0" w:color="auto"/>
                      </w:divBdr>
                      <w:divsChild>
                        <w:div w:id="87007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613057">
          <w:marLeft w:val="0"/>
          <w:marRight w:val="0"/>
          <w:marTop w:val="0"/>
          <w:marBottom w:val="960"/>
          <w:divBdr>
            <w:top w:val="none" w:sz="0" w:space="0" w:color="auto"/>
            <w:left w:val="none" w:sz="0" w:space="0" w:color="auto"/>
            <w:bottom w:val="none" w:sz="0" w:space="0" w:color="auto"/>
            <w:right w:val="none" w:sz="0" w:space="0" w:color="auto"/>
          </w:divBdr>
          <w:divsChild>
            <w:div w:id="1047922409">
              <w:marLeft w:val="0"/>
              <w:marRight w:val="0"/>
              <w:marTop w:val="120"/>
              <w:marBottom w:val="0"/>
              <w:divBdr>
                <w:top w:val="none" w:sz="0" w:space="0" w:color="auto"/>
                <w:left w:val="none" w:sz="0" w:space="0" w:color="auto"/>
                <w:bottom w:val="none" w:sz="0" w:space="0" w:color="auto"/>
                <w:right w:val="none" w:sz="0" w:space="0" w:color="auto"/>
              </w:divBdr>
              <w:divsChild>
                <w:div w:id="2045321980">
                  <w:marLeft w:val="0"/>
                  <w:marRight w:val="60"/>
                  <w:marTop w:val="0"/>
                  <w:marBottom w:val="0"/>
                  <w:divBdr>
                    <w:top w:val="none" w:sz="0" w:space="0" w:color="auto"/>
                    <w:left w:val="none" w:sz="0" w:space="0" w:color="auto"/>
                    <w:bottom w:val="none" w:sz="0" w:space="0" w:color="auto"/>
                    <w:right w:val="none" w:sz="0" w:space="0" w:color="auto"/>
                  </w:divBdr>
                </w:div>
              </w:divsChild>
            </w:div>
          </w:divsChild>
        </w:div>
        <w:div w:id="365183599">
          <w:marLeft w:val="0"/>
          <w:marRight w:val="0"/>
          <w:marTop w:val="0"/>
          <w:marBottom w:val="0"/>
          <w:divBdr>
            <w:top w:val="none" w:sz="0" w:space="0" w:color="auto"/>
            <w:left w:val="none" w:sz="0" w:space="0" w:color="auto"/>
            <w:bottom w:val="none" w:sz="0" w:space="0" w:color="auto"/>
            <w:right w:val="none" w:sz="0" w:space="0" w:color="auto"/>
          </w:divBdr>
          <w:divsChild>
            <w:div w:id="1091897512">
              <w:marLeft w:val="0"/>
              <w:marRight w:val="0"/>
              <w:marTop w:val="0"/>
              <w:marBottom w:val="0"/>
              <w:divBdr>
                <w:top w:val="none" w:sz="0" w:space="0" w:color="auto"/>
                <w:left w:val="none" w:sz="0" w:space="0" w:color="auto"/>
                <w:bottom w:val="none" w:sz="0" w:space="0" w:color="auto"/>
                <w:right w:val="none" w:sz="0" w:space="0" w:color="auto"/>
              </w:divBdr>
              <w:divsChild>
                <w:div w:id="862986037">
                  <w:marLeft w:val="0"/>
                  <w:marRight w:val="0"/>
                  <w:marTop w:val="0"/>
                  <w:marBottom w:val="0"/>
                  <w:divBdr>
                    <w:top w:val="none" w:sz="0" w:space="0" w:color="auto"/>
                    <w:left w:val="none" w:sz="0" w:space="0" w:color="auto"/>
                    <w:bottom w:val="none" w:sz="0" w:space="0" w:color="auto"/>
                    <w:right w:val="none" w:sz="0" w:space="0" w:color="auto"/>
                  </w:divBdr>
                </w:div>
                <w:div w:id="1424959020">
                  <w:marLeft w:val="0"/>
                  <w:marRight w:val="0"/>
                  <w:marTop w:val="0"/>
                  <w:marBottom w:val="0"/>
                  <w:divBdr>
                    <w:top w:val="none" w:sz="0" w:space="0" w:color="auto"/>
                    <w:left w:val="none" w:sz="0" w:space="0" w:color="auto"/>
                    <w:bottom w:val="none" w:sz="0" w:space="0" w:color="auto"/>
                    <w:right w:val="none" w:sz="0" w:space="0" w:color="auto"/>
                  </w:divBdr>
                </w:div>
                <w:div w:id="201086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space.com/business/biotech-finally-has-an-ipo-after-months-long-freeze" TargetMode="External"/><Relationship Id="rId3" Type="http://schemas.openxmlformats.org/officeDocument/2006/relationships/settings" Target="settings.xml"/><Relationship Id="rId7" Type="http://schemas.openxmlformats.org/officeDocument/2006/relationships/hyperlink" Target="https://www.biospace.com/press-releases/tubulis-raises-308-million-series-c-to-accelerate-clinical-development-of-lead-adc-candidate-tub-040-and-expand-pipel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ospace.com/business/kailera-banks-massive-600m-raise-for-phase-iii-obesity-study" TargetMode="External"/><Relationship Id="rId11" Type="http://schemas.openxmlformats.org/officeDocument/2006/relationships/theme" Target="theme/theme1.xml"/><Relationship Id="rId5" Type="http://schemas.openxmlformats.org/officeDocument/2006/relationships/hyperlink" Target="https://www.linkedin.com/pulse/q3-2025-biopharma-funding-markets-waking-up-only-bill-gadless-suju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ospace.com/business/thanks-to-pfizer-drug-pricing-clouds-begin-to-clear-as-q3-earnings-roll-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1555</Words>
  <Characters>7809</Characters>
  <Application>Microsoft Office Word</Application>
  <DocSecurity>0</DocSecurity>
  <Lines>129</Lines>
  <Paragraphs>40</Paragraphs>
  <ScaleCrop>false</ScaleCrop>
  <Company/>
  <LinksUpToDate>false</LinksUpToDate>
  <CharactersWithSpaces>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2025-11-01T16:35:00Z</dcterms:created>
  <dcterms:modified xsi:type="dcterms:W3CDTF">2025-11-01T16:36:00Z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b805dfe9-5fc3-447d-a0ee-61dfbb8f0681</vt:lpwstr>
  </property>
</Properties>
</file>