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ABEA2" w14:textId="77777777" w:rsidR="00943B38" w:rsidRPr="00943B38" w:rsidRDefault="00943B38" w:rsidP="00943B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3B38">
        <w:rPr>
          <w:rFonts w:ascii="Times New Roman" w:eastAsia="Times New Roman" w:hAnsi="Times New Roman" w:cs="Times New Roman"/>
          <w:b/>
          <w:bCs/>
          <w:kern w:val="0"/>
          <w:sz w:val="36"/>
          <w:szCs w:val="36"/>
          <w14:ligatures w14:val="none"/>
        </w:rPr>
        <w:t>Mastering Multiple Requisitions: A Recruiter's Guide to Success in Pharma and Biotech</w:t>
      </w:r>
    </w:p>
    <w:p w14:paraId="2AEF0CFB" w14:textId="3CD603D8"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As a seasoned </w:t>
      </w:r>
      <w:r>
        <w:rPr>
          <w:rFonts w:ascii="Times New Roman" w:eastAsia="Times New Roman" w:hAnsi="Times New Roman" w:cs="Times New Roman"/>
          <w:kern w:val="0"/>
          <w14:ligatures w14:val="none"/>
        </w:rPr>
        <w:t>recruiters and talent acquisition professionals</w:t>
      </w:r>
      <w:r w:rsidRPr="00943B38">
        <w:rPr>
          <w:rFonts w:ascii="Times New Roman" w:eastAsia="Times New Roman" w:hAnsi="Times New Roman" w:cs="Times New Roman"/>
          <w:kern w:val="0"/>
          <w14:ligatures w14:val="none"/>
        </w:rPr>
        <w:t xml:space="preserve"> in the pharmaceutical and biotechnology sectors, </w:t>
      </w:r>
      <w:r>
        <w:rPr>
          <w:rFonts w:ascii="Times New Roman" w:eastAsia="Times New Roman" w:hAnsi="Times New Roman" w:cs="Times New Roman"/>
          <w:kern w:val="0"/>
          <w14:ligatures w14:val="none"/>
        </w:rPr>
        <w:t>we</w:t>
      </w:r>
      <w:r w:rsidRPr="00943B38">
        <w:rPr>
          <w:rFonts w:ascii="Times New Roman" w:eastAsia="Times New Roman" w:hAnsi="Times New Roman" w:cs="Times New Roman"/>
          <w:kern w:val="0"/>
          <w14:ligatures w14:val="none"/>
        </w:rPr>
        <w:t xml:space="preserve"> have witnessed firsthand the challenges of juggling numerous open requisitions simultaneously. A recent Bullhorn survey revealed that </w:t>
      </w:r>
      <w:r w:rsidRPr="00943B38">
        <w:rPr>
          <w:rFonts w:ascii="Times New Roman" w:eastAsia="Times New Roman" w:hAnsi="Times New Roman" w:cs="Times New Roman"/>
          <w:b/>
          <w:bCs/>
          <w:kern w:val="0"/>
          <w14:ligatures w14:val="none"/>
        </w:rPr>
        <w:t>61% of staffing professionals</w:t>
      </w:r>
      <w:r w:rsidRPr="00943B38">
        <w:rPr>
          <w:rFonts w:ascii="Times New Roman" w:eastAsia="Times New Roman" w:hAnsi="Times New Roman" w:cs="Times New Roman"/>
          <w:kern w:val="0"/>
          <w14:ligatures w14:val="none"/>
        </w:rPr>
        <w:t xml:space="preserve"> consider managing candidate pipelines their biggest hurdle. Drawing from my experience and industry data, I will share strategies to effectively manage multiple requisitions, boost productivity, and deliver exceptional results for your life sciences clients.</w:t>
      </w:r>
    </w:p>
    <w:p w14:paraId="7ED94B67" w14:textId="77777777" w:rsidR="00943B38" w:rsidRP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B38">
        <w:rPr>
          <w:rFonts w:ascii="Times New Roman" w:eastAsia="Times New Roman" w:hAnsi="Times New Roman" w:cs="Times New Roman"/>
          <w:b/>
          <w:bCs/>
          <w:kern w:val="0"/>
          <w:sz w:val="27"/>
          <w:szCs w:val="27"/>
          <w14:ligatures w14:val="none"/>
        </w:rPr>
        <w:t>1. Prioritize Based on Scientific and Business Impact</w:t>
      </w:r>
    </w:p>
    <w:p w14:paraId="712EB031" w14:textId="7C59A925"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In pharma and biotech, where time-to-market can make or break a drug's success, strategic prioritization is crucial. A McKinsey study found that reducing time-to-hire by just </w:t>
      </w:r>
      <w:r w:rsidRPr="00943B38">
        <w:rPr>
          <w:rFonts w:ascii="Times New Roman" w:eastAsia="Times New Roman" w:hAnsi="Times New Roman" w:cs="Times New Roman"/>
          <w:b/>
          <w:bCs/>
          <w:kern w:val="0"/>
          <w14:ligatures w14:val="none"/>
        </w:rPr>
        <w:t>5%</w:t>
      </w:r>
      <w:r w:rsidRPr="00943B38">
        <w:rPr>
          <w:rFonts w:ascii="Times New Roman" w:eastAsia="Times New Roman" w:hAnsi="Times New Roman" w:cs="Times New Roman"/>
          <w:kern w:val="0"/>
          <w14:ligatures w14:val="none"/>
        </w:rPr>
        <w:t xml:space="preserve"> can increase revenue by up to </w:t>
      </w:r>
      <w:r w:rsidRPr="00943B38">
        <w:rPr>
          <w:rFonts w:ascii="Times New Roman" w:eastAsia="Times New Roman" w:hAnsi="Times New Roman" w:cs="Times New Roman"/>
          <w:b/>
          <w:bCs/>
          <w:kern w:val="0"/>
          <w14:ligatures w14:val="none"/>
        </w:rPr>
        <w:t>2%</w:t>
      </w:r>
      <w:r w:rsidRPr="00943B38">
        <w:rPr>
          <w:rFonts w:ascii="Times New Roman" w:eastAsia="Times New Roman" w:hAnsi="Times New Roman" w:cs="Times New Roman"/>
          <w:kern w:val="0"/>
          <w14:ligatures w14:val="none"/>
        </w:rPr>
        <w:t xml:space="preserve"> in the biopharma industry. When prioritizing requisitions, consider:</w:t>
      </w:r>
    </w:p>
    <w:p w14:paraId="272A38B8" w14:textId="77777777" w:rsidR="00943B38" w:rsidRPr="00943B38" w:rsidRDefault="00943B38" w:rsidP="00943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Which roles are critical for hitting quarterly R&amp;D milestones?</w:t>
      </w:r>
    </w:p>
    <w:p w14:paraId="19CEBA7F" w14:textId="77777777" w:rsidR="00943B38" w:rsidRPr="00943B38" w:rsidRDefault="00943B38" w:rsidP="00943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Which positions, if filled, will accelerate clinical trials or regulatory submissions?</w:t>
      </w:r>
    </w:p>
    <w:p w14:paraId="2AD550D6" w14:textId="77777777" w:rsidR="00943B38" w:rsidRPr="00943B38" w:rsidRDefault="00943B38" w:rsidP="00943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Which roles have the potential to drive the most revenue or cost savings in drug development?</w:t>
      </w:r>
    </w:p>
    <w:p w14:paraId="548AEC25" w14:textId="77777777" w:rsidR="00943B38" w:rsidRPr="00943B38" w:rsidRDefault="00943B38" w:rsidP="00943B3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Are there any positions that directly impact patient outcomes or safety?</w:t>
      </w:r>
    </w:p>
    <w:p w14:paraId="70922F70"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By aligning your efforts with the most critical talent needs, you'll deliver more value to your clients and make a bigger impact on their scientific advancements and bottom line.</w:t>
      </w:r>
    </w:p>
    <w:p w14:paraId="3332E063" w14:textId="77777777" w:rsidR="00943B38" w:rsidRP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B38">
        <w:rPr>
          <w:rFonts w:ascii="Times New Roman" w:eastAsia="Times New Roman" w:hAnsi="Times New Roman" w:cs="Times New Roman"/>
          <w:b/>
          <w:bCs/>
          <w:kern w:val="0"/>
          <w:sz w:val="27"/>
          <w:szCs w:val="27"/>
          <w14:ligatures w14:val="none"/>
        </w:rPr>
        <w:t>2. Leverage Time Blocking for Maximum Efficiency</w:t>
      </w:r>
    </w:p>
    <w:p w14:paraId="41D703D1"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Time blocking is a powerful technique for managing multiple requisitions, especially in the complex pharma/biotech landscape. Research shows that professionals who use time blocking are </w:t>
      </w:r>
      <w:r w:rsidRPr="00943B38">
        <w:rPr>
          <w:rFonts w:ascii="Times New Roman" w:eastAsia="Times New Roman" w:hAnsi="Times New Roman" w:cs="Times New Roman"/>
          <w:b/>
          <w:bCs/>
          <w:kern w:val="0"/>
          <w14:ligatures w14:val="none"/>
        </w:rPr>
        <w:t>18% more likely</w:t>
      </w:r>
      <w:r w:rsidRPr="00943B38">
        <w:rPr>
          <w:rFonts w:ascii="Times New Roman" w:eastAsia="Times New Roman" w:hAnsi="Times New Roman" w:cs="Times New Roman"/>
          <w:kern w:val="0"/>
          <w14:ligatures w14:val="none"/>
        </w:rPr>
        <w:t xml:space="preserve"> to feel in control of their workload. Here's a sample weekly schedule tailored for life sciences recruiters:</w:t>
      </w:r>
    </w:p>
    <w:p w14:paraId="02D7ACF4" w14:textId="77777777" w:rsid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E412D73" w14:textId="77777777" w:rsid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F788B01" w14:textId="77777777" w:rsid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54B687C" w14:textId="77777777" w:rsid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37B9A0" w14:textId="77777777" w:rsid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08DF9B" w14:textId="77777777" w:rsid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tbl>
      <w:tblPr>
        <w:tblStyle w:val="PlainTable1"/>
        <w:tblW w:w="0" w:type="auto"/>
        <w:tblLook w:val="0420" w:firstRow="1" w:lastRow="0" w:firstColumn="0" w:lastColumn="0" w:noHBand="0" w:noVBand="1"/>
      </w:tblPr>
      <w:tblGrid>
        <w:gridCol w:w="1540"/>
        <w:gridCol w:w="1592"/>
        <w:gridCol w:w="1554"/>
        <w:gridCol w:w="1557"/>
        <w:gridCol w:w="1551"/>
        <w:gridCol w:w="1556"/>
      </w:tblGrid>
      <w:tr w:rsidR="00943B38" w:rsidRPr="00943B38" w14:paraId="48571196" w14:textId="77777777" w:rsidTr="00943B38">
        <w:trPr>
          <w:cnfStyle w:val="100000000000" w:firstRow="1" w:lastRow="0" w:firstColumn="0" w:lastColumn="0" w:oddVBand="0" w:evenVBand="0" w:oddHBand="0" w:evenHBand="0" w:firstRowFirstColumn="0" w:firstRowLastColumn="0" w:lastRowFirstColumn="0" w:lastRowLastColumn="0"/>
        </w:trPr>
        <w:tc>
          <w:tcPr>
            <w:tcW w:w="1558" w:type="dxa"/>
          </w:tcPr>
          <w:p w14:paraId="1F1B8FBC" w14:textId="4F4A77D1" w:rsidR="00943B38" w:rsidRPr="00943B38" w:rsidRDefault="00943B38" w:rsidP="00943B38">
            <w:r w:rsidRPr="00943B38">
              <w:lastRenderedPageBreak/>
              <w:t>Time</w:t>
            </w:r>
          </w:p>
        </w:tc>
        <w:tc>
          <w:tcPr>
            <w:tcW w:w="1558" w:type="dxa"/>
          </w:tcPr>
          <w:p w14:paraId="7F65D312" w14:textId="76E35BF9" w:rsidR="00943B38" w:rsidRPr="00943B38" w:rsidRDefault="00943B38" w:rsidP="00943B38">
            <w:r w:rsidRPr="00943B38">
              <w:t>Monday</w:t>
            </w:r>
          </w:p>
        </w:tc>
        <w:tc>
          <w:tcPr>
            <w:tcW w:w="1558" w:type="dxa"/>
          </w:tcPr>
          <w:p w14:paraId="005F4717" w14:textId="0B4C5180" w:rsidR="00943B38" w:rsidRPr="00943B38" w:rsidRDefault="00943B38" w:rsidP="00943B38">
            <w:r w:rsidRPr="00943B38">
              <w:t>Tuesday</w:t>
            </w:r>
          </w:p>
        </w:tc>
        <w:tc>
          <w:tcPr>
            <w:tcW w:w="1558" w:type="dxa"/>
          </w:tcPr>
          <w:p w14:paraId="6236E00C" w14:textId="09DF60AA" w:rsidR="00943B38" w:rsidRPr="00943B38" w:rsidRDefault="00943B38" w:rsidP="00943B38">
            <w:r w:rsidRPr="00943B38">
              <w:t>Wednesday</w:t>
            </w:r>
          </w:p>
        </w:tc>
        <w:tc>
          <w:tcPr>
            <w:tcW w:w="1559" w:type="dxa"/>
          </w:tcPr>
          <w:p w14:paraId="6E3E0A05" w14:textId="598BFFF8" w:rsidR="00943B38" w:rsidRPr="00943B38" w:rsidRDefault="00943B38" w:rsidP="00943B38">
            <w:r w:rsidRPr="00943B38">
              <w:t>Thursday</w:t>
            </w:r>
          </w:p>
        </w:tc>
        <w:tc>
          <w:tcPr>
            <w:tcW w:w="1559" w:type="dxa"/>
          </w:tcPr>
          <w:p w14:paraId="5D134BFD" w14:textId="6AE7BF5B" w:rsidR="00943B38" w:rsidRPr="00943B38" w:rsidRDefault="00943B38" w:rsidP="00943B38">
            <w:r w:rsidRPr="00943B38">
              <w:t>Friday</w:t>
            </w:r>
          </w:p>
        </w:tc>
      </w:tr>
      <w:tr w:rsidR="00943B38" w:rsidRPr="00943B38" w14:paraId="636D1836" w14:textId="77777777" w:rsidTr="00943B38">
        <w:trPr>
          <w:cnfStyle w:val="000000100000" w:firstRow="0" w:lastRow="0" w:firstColumn="0" w:lastColumn="0" w:oddVBand="0" w:evenVBand="0" w:oddHBand="1" w:evenHBand="0" w:firstRowFirstColumn="0" w:firstRowLastColumn="0" w:lastRowFirstColumn="0" w:lastRowLastColumn="0"/>
        </w:trPr>
        <w:tc>
          <w:tcPr>
            <w:tcW w:w="1558" w:type="dxa"/>
          </w:tcPr>
          <w:p w14:paraId="09D0DE0A" w14:textId="6B46C075" w:rsidR="00943B38" w:rsidRPr="00943B38" w:rsidRDefault="00943B38" w:rsidP="00943B38">
            <w:r w:rsidRPr="00943B38">
              <w:t>AM</w:t>
            </w:r>
          </w:p>
        </w:tc>
        <w:tc>
          <w:tcPr>
            <w:tcW w:w="1558" w:type="dxa"/>
          </w:tcPr>
          <w:p w14:paraId="2CE2DB48" w14:textId="1452377A" w:rsidR="00943B38" w:rsidRPr="00943B38" w:rsidRDefault="00943B38" w:rsidP="00943B38">
            <w:r w:rsidRPr="00943B38">
              <w:t>Prioritization, market analysis</w:t>
            </w:r>
          </w:p>
        </w:tc>
        <w:tc>
          <w:tcPr>
            <w:tcW w:w="1558" w:type="dxa"/>
          </w:tcPr>
          <w:p w14:paraId="16033519" w14:textId="3126F73F" w:rsidR="00943B38" w:rsidRPr="00943B38" w:rsidRDefault="00943B38" w:rsidP="00943B38">
            <w:r w:rsidRPr="00943B38">
              <w:t>Screening calls, scientific profile reviews</w:t>
            </w:r>
          </w:p>
        </w:tc>
        <w:tc>
          <w:tcPr>
            <w:tcW w:w="1558" w:type="dxa"/>
          </w:tcPr>
          <w:p w14:paraId="1418AEB1" w14:textId="3EE80101" w:rsidR="00943B38" w:rsidRPr="00943B38" w:rsidRDefault="00943B38" w:rsidP="00943B38">
            <w:r w:rsidRPr="00943B38">
              <w:t>Conduct technical interviews</w:t>
            </w:r>
          </w:p>
        </w:tc>
        <w:tc>
          <w:tcPr>
            <w:tcW w:w="1559" w:type="dxa"/>
          </w:tcPr>
          <w:p w14:paraId="11F26F08" w14:textId="657B6A63" w:rsidR="00943B38" w:rsidRPr="00943B38" w:rsidRDefault="00943B38" w:rsidP="00943B38">
            <w:r w:rsidRPr="00943B38">
              <w:t>Follow-up, gather feedback from KOLs</w:t>
            </w:r>
          </w:p>
        </w:tc>
        <w:tc>
          <w:tcPr>
            <w:tcW w:w="1559" w:type="dxa"/>
          </w:tcPr>
          <w:p w14:paraId="1C9A3843" w14:textId="4AAD4ECD" w:rsidR="00943B38" w:rsidRPr="00943B38" w:rsidRDefault="00943B38" w:rsidP="00943B38">
            <w:r w:rsidRPr="00943B38">
              <w:t>Pipeline review, competitive intelligence</w:t>
            </w:r>
          </w:p>
        </w:tc>
      </w:tr>
      <w:tr w:rsidR="00943B38" w:rsidRPr="00943B38" w14:paraId="34A6AACD" w14:textId="77777777" w:rsidTr="00943B38">
        <w:tc>
          <w:tcPr>
            <w:tcW w:w="1558" w:type="dxa"/>
          </w:tcPr>
          <w:p w14:paraId="32D3B12D" w14:textId="78F34DDD" w:rsidR="00943B38" w:rsidRPr="00943B38" w:rsidRDefault="00943B38" w:rsidP="00943B38">
            <w:r w:rsidRPr="00943B38">
              <w:t>PM</w:t>
            </w:r>
          </w:p>
        </w:tc>
        <w:tc>
          <w:tcPr>
            <w:tcW w:w="1558" w:type="dxa"/>
          </w:tcPr>
          <w:p w14:paraId="7E40CC3B" w14:textId="28FF1DDC" w:rsidR="00943B38" w:rsidRPr="00943B38" w:rsidRDefault="00943B38" w:rsidP="00943B38">
            <w:r w:rsidRPr="00943B38">
              <w:t>Sourcing for top priority roles (e.g., senior scientists, medical directors)</w:t>
            </w:r>
          </w:p>
        </w:tc>
        <w:tc>
          <w:tcPr>
            <w:tcW w:w="1558" w:type="dxa"/>
          </w:tcPr>
          <w:p w14:paraId="16E7FF2D" w14:textId="5E293D16" w:rsidR="00943B38" w:rsidRPr="00943B38" w:rsidRDefault="00943B38" w:rsidP="00943B38">
            <w:r w:rsidRPr="00943B38">
              <w:t>Prep candidates on trial data, company pipelines</w:t>
            </w:r>
          </w:p>
        </w:tc>
        <w:tc>
          <w:tcPr>
            <w:tcW w:w="1558" w:type="dxa"/>
          </w:tcPr>
          <w:p w14:paraId="5D35320B" w14:textId="6F196FB9" w:rsidR="00943B38" w:rsidRPr="00943B38" w:rsidRDefault="00943B38" w:rsidP="00943B38">
            <w:r w:rsidRPr="00943B38">
              <w:t>Sourcing for secondary roles</w:t>
            </w:r>
          </w:p>
        </w:tc>
        <w:tc>
          <w:tcPr>
            <w:tcW w:w="1559" w:type="dxa"/>
          </w:tcPr>
          <w:p w14:paraId="5CCDC1E3" w14:textId="3DDFFA47" w:rsidR="00943B38" w:rsidRPr="00943B38" w:rsidRDefault="00943B38" w:rsidP="00943B38">
            <w:r w:rsidRPr="00943B38">
              <w:t>Hiring manager check-ins, discuss trial progress</w:t>
            </w:r>
          </w:p>
        </w:tc>
        <w:tc>
          <w:tcPr>
            <w:tcW w:w="1559" w:type="dxa"/>
          </w:tcPr>
          <w:p w14:paraId="5C93FEE6" w14:textId="54914930" w:rsidR="00943B38" w:rsidRPr="00943B38" w:rsidRDefault="00943B38" w:rsidP="00943B38">
            <w:r w:rsidRPr="00943B38">
              <w:t>Prep for following week, industry research</w:t>
            </w:r>
          </w:p>
        </w:tc>
      </w:tr>
    </w:tbl>
    <w:p w14:paraId="03C1FF3B" w14:textId="77777777" w:rsidR="00943B38" w:rsidRPr="00943B38" w:rsidRDefault="00943B38" w:rsidP="00943B38"/>
    <w:p w14:paraId="5500B23A" w14:textId="2906C50B" w:rsidR="00943B38" w:rsidRP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B38">
        <w:rPr>
          <w:rFonts w:ascii="Times New Roman" w:eastAsia="Times New Roman" w:hAnsi="Times New Roman" w:cs="Times New Roman"/>
          <w:b/>
          <w:bCs/>
          <w:kern w:val="0"/>
          <w:sz w:val="27"/>
          <w:szCs w:val="27"/>
          <w14:ligatures w14:val="none"/>
        </w:rPr>
        <w:t>3. Align Early and Often with Hiring Managers and Scientific Leadership</w:t>
      </w:r>
    </w:p>
    <w:p w14:paraId="16C232F7"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In the scientifically complex world of pharma and biotech, close alignment with hiring managers and scientific leadership is essential. LinkedIn found that </w:t>
      </w:r>
      <w:r w:rsidRPr="00943B38">
        <w:rPr>
          <w:rFonts w:ascii="Times New Roman" w:eastAsia="Times New Roman" w:hAnsi="Times New Roman" w:cs="Times New Roman"/>
          <w:b/>
          <w:bCs/>
          <w:kern w:val="0"/>
          <w14:ligatures w14:val="none"/>
        </w:rPr>
        <w:t>56% of talent professionals</w:t>
      </w:r>
      <w:r w:rsidRPr="00943B38">
        <w:rPr>
          <w:rFonts w:ascii="Times New Roman" w:eastAsia="Times New Roman" w:hAnsi="Times New Roman" w:cs="Times New Roman"/>
          <w:kern w:val="0"/>
          <w14:ligatures w14:val="none"/>
        </w:rPr>
        <w:t xml:space="preserve"> say hiring manager engagement is the top factor influencing time-to-fill. Best practices for alignment in life sciences include:</w:t>
      </w:r>
    </w:p>
    <w:p w14:paraId="3329E3AE" w14:textId="77777777" w:rsidR="00943B38" w:rsidRPr="00943B38" w:rsidRDefault="00943B38" w:rsidP="00943B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Conduct thorough intake meetings to understand the scientific and technical requirements of each role, including specific therapeutic areas or modalities.</w:t>
      </w:r>
    </w:p>
    <w:p w14:paraId="69105BA8" w14:textId="77777777" w:rsidR="00943B38" w:rsidRPr="00943B38" w:rsidRDefault="00943B38" w:rsidP="00943B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Review sample resumes together to calibrate on qualifications, paying attention to publication history and patent contributions.</w:t>
      </w:r>
    </w:p>
    <w:p w14:paraId="339926E1" w14:textId="77777777" w:rsidR="00943B38" w:rsidRPr="00943B38" w:rsidRDefault="00943B38" w:rsidP="00943B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Schedule regular check-ins to review pipeline and gather input on candidate fit within the R&amp;D ecosystem.</w:t>
      </w:r>
    </w:p>
    <w:p w14:paraId="15756054" w14:textId="77777777" w:rsidR="00943B38" w:rsidRPr="00943B38" w:rsidRDefault="00943B38" w:rsidP="00943B3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Use tools like </w:t>
      </w:r>
      <w:r w:rsidRPr="00943B38">
        <w:rPr>
          <w:rFonts w:ascii="Times New Roman" w:eastAsia="Times New Roman" w:hAnsi="Times New Roman" w:cs="Times New Roman"/>
          <w:b/>
          <w:bCs/>
          <w:kern w:val="0"/>
          <w14:ligatures w14:val="none"/>
        </w:rPr>
        <w:t>BioPhase Solutions</w:t>
      </w:r>
      <w:r w:rsidRPr="00943B38">
        <w:rPr>
          <w:rFonts w:ascii="Times New Roman" w:eastAsia="Times New Roman" w:hAnsi="Times New Roman" w:cs="Times New Roman"/>
          <w:kern w:val="0"/>
          <w14:ligatures w14:val="none"/>
        </w:rPr>
        <w:t xml:space="preserve"> or </w:t>
      </w:r>
      <w:proofErr w:type="spellStart"/>
      <w:r w:rsidRPr="00943B38">
        <w:rPr>
          <w:rFonts w:ascii="Times New Roman" w:eastAsia="Times New Roman" w:hAnsi="Times New Roman" w:cs="Times New Roman"/>
          <w:b/>
          <w:bCs/>
          <w:kern w:val="0"/>
          <w14:ligatures w14:val="none"/>
        </w:rPr>
        <w:t>PharmaOpportunities</w:t>
      </w:r>
      <w:proofErr w:type="spellEnd"/>
      <w:r w:rsidRPr="00943B38">
        <w:rPr>
          <w:rFonts w:ascii="Times New Roman" w:eastAsia="Times New Roman" w:hAnsi="Times New Roman" w:cs="Times New Roman"/>
          <w:kern w:val="0"/>
          <w14:ligatures w14:val="none"/>
        </w:rPr>
        <w:t xml:space="preserve"> to stay updated on industry trends, emerging technologies, and salary benchmarks for specialized roles.</w:t>
      </w:r>
    </w:p>
    <w:p w14:paraId="52FD4125" w14:textId="77777777" w:rsidR="00943B38" w:rsidRP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B38">
        <w:rPr>
          <w:rFonts w:ascii="Times New Roman" w:eastAsia="Times New Roman" w:hAnsi="Times New Roman" w:cs="Times New Roman"/>
          <w:b/>
          <w:bCs/>
          <w:kern w:val="0"/>
          <w:sz w:val="27"/>
          <w:szCs w:val="27"/>
          <w14:ligatures w14:val="none"/>
        </w:rPr>
        <w:t>4. Leverage Requisition Management Tools with Life Sciences Focus</w:t>
      </w:r>
    </w:p>
    <w:p w14:paraId="58B8FEFB"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Utilizing the right tools can significantly improve your ability to manage multiple requisitions in the pharma/biotech space. Aptitude Research reports that recruiters who use an ATS are </w:t>
      </w:r>
      <w:r w:rsidRPr="00943B38">
        <w:rPr>
          <w:rFonts w:ascii="Times New Roman" w:eastAsia="Times New Roman" w:hAnsi="Times New Roman" w:cs="Times New Roman"/>
          <w:b/>
          <w:bCs/>
          <w:kern w:val="0"/>
          <w14:ligatures w14:val="none"/>
        </w:rPr>
        <w:t>four times more likely</w:t>
      </w:r>
      <w:r w:rsidRPr="00943B38">
        <w:rPr>
          <w:rFonts w:ascii="Times New Roman" w:eastAsia="Times New Roman" w:hAnsi="Times New Roman" w:cs="Times New Roman"/>
          <w:kern w:val="0"/>
          <w14:ligatures w14:val="none"/>
        </w:rPr>
        <w:t xml:space="preserve"> to improve their hiring metrics. Top ATS options for pharma/biotech recruiting include:</w:t>
      </w:r>
    </w:p>
    <w:p w14:paraId="4C1ADB85" w14:textId="77777777" w:rsidR="00943B38" w:rsidRPr="00943B38" w:rsidRDefault="00943B38" w:rsidP="00943B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b/>
          <w:bCs/>
          <w:kern w:val="0"/>
          <w14:ligatures w14:val="none"/>
        </w:rPr>
        <w:t>Greenhouse</w:t>
      </w:r>
      <w:r w:rsidRPr="00943B38">
        <w:rPr>
          <w:rFonts w:ascii="Times New Roman" w:eastAsia="Times New Roman" w:hAnsi="Times New Roman" w:cs="Times New Roman"/>
          <w:kern w:val="0"/>
          <w14:ligatures w14:val="none"/>
        </w:rPr>
        <w:t>: Offers customizable scorecards for scientific roles.</w:t>
      </w:r>
    </w:p>
    <w:p w14:paraId="3D644C37" w14:textId="77777777" w:rsidR="00943B38" w:rsidRPr="00943B38" w:rsidRDefault="00943B38" w:rsidP="00943B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b/>
          <w:bCs/>
          <w:kern w:val="0"/>
          <w14:ligatures w14:val="none"/>
        </w:rPr>
        <w:t>Lever</w:t>
      </w:r>
      <w:r w:rsidRPr="00943B38">
        <w:rPr>
          <w:rFonts w:ascii="Times New Roman" w:eastAsia="Times New Roman" w:hAnsi="Times New Roman" w:cs="Times New Roman"/>
          <w:kern w:val="0"/>
          <w14:ligatures w14:val="none"/>
        </w:rPr>
        <w:t>: Provides robust integration capabilities with scientific databases.</w:t>
      </w:r>
    </w:p>
    <w:p w14:paraId="4BCCBE16" w14:textId="77777777" w:rsidR="00943B38" w:rsidRPr="00943B38" w:rsidRDefault="00943B38" w:rsidP="00943B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b/>
          <w:bCs/>
          <w:kern w:val="0"/>
          <w14:ligatures w14:val="none"/>
        </w:rPr>
        <w:t>iCIMS</w:t>
      </w:r>
      <w:r w:rsidRPr="00943B38">
        <w:rPr>
          <w:rFonts w:ascii="Times New Roman" w:eastAsia="Times New Roman" w:hAnsi="Times New Roman" w:cs="Times New Roman"/>
          <w:kern w:val="0"/>
          <w14:ligatures w14:val="none"/>
        </w:rPr>
        <w:t>: Offers compliance features crucial for regulated industries.</w:t>
      </w:r>
    </w:p>
    <w:p w14:paraId="08A51F3F" w14:textId="77777777" w:rsidR="00943B38" w:rsidRPr="00943B38" w:rsidRDefault="00943B38" w:rsidP="00943B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b/>
          <w:bCs/>
          <w:kern w:val="0"/>
          <w14:ligatures w14:val="none"/>
        </w:rPr>
        <w:t>Bullhorn</w:t>
      </w:r>
      <w:r w:rsidRPr="00943B38">
        <w:rPr>
          <w:rFonts w:ascii="Times New Roman" w:eastAsia="Times New Roman" w:hAnsi="Times New Roman" w:cs="Times New Roman"/>
          <w:kern w:val="0"/>
          <w14:ligatures w14:val="none"/>
        </w:rPr>
        <w:t>: Known for its strong reporting capabilities for agency recruiters.</w:t>
      </w:r>
    </w:p>
    <w:p w14:paraId="41AC71C7"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These systems offer features like candidate pipelines, interview scheduling, and analytics to help you stay organized and make data-driven decisions in a highly specialized field.</w:t>
      </w:r>
    </w:p>
    <w:p w14:paraId="0F95BA7C" w14:textId="77777777" w:rsidR="00943B38" w:rsidRP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B38">
        <w:rPr>
          <w:rFonts w:ascii="Times New Roman" w:eastAsia="Times New Roman" w:hAnsi="Times New Roman" w:cs="Times New Roman"/>
          <w:b/>
          <w:bCs/>
          <w:kern w:val="0"/>
          <w:sz w:val="27"/>
          <w:szCs w:val="27"/>
          <w14:ligatures w14:val="none"/>
        </w:rPr>
        <w:lastRenderedPageBreak/>
        <w:t>5. Conduct Daily Pipeline Health Checks with Scientific Precision</w:t>
      </w:r>
    </w:p>
    <w:p w14:paraId="7E1FDCB1"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 xml:space="preserve">Regular pipeline reviews are crucial for staying on top of multiple requisitions in the fast-moving life sciences sector. Deloitte found that high-performing recruiting teams are </w:t>
      </w:r>
      <w:r w:rsidRPr="00943B38">
        <w:rPr>
          <w:rFonts w:ascii="Times New Roman" w:eastAsia="Times New Roman" w:hAnsi="Times New Roman" w:cs="Times New Roman"/>
          <w:b/>
          <w:bCs/>
          <w:kern w:val="0"/>
          <w14:ligatures w14:val="none"/>
        </w:rPr>
        <w:t>3.5 times more likely</w:t>
      </w:r>
      <w:r w:rsidRPr="00943B38">
        <w:rPr>
          <w:rFonts w:ascii="Times New Roman" w:eastAsia="Times New Roman" w:hAnsi="Times New Roman" w:cs="Times New Roman"/>
          <w:kern w:val="0"/>
          <w14:ligatures w14:val="none"/>
        </w:rPr>
        <w:t xml:space="preserve"> to use data to make decisions and monitor their pipeline. During your daily check-in, assess:</w:t>
      </w:r>
    </w:p>
    <w:p w14:paraId="2762749A" w14:textId="77777777" w:rsidR="00943B38" w:rsidRPr="00943B38" w:rsidRDefault="00943B38" w:rsidP="00943B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Number of candidates at each stage, categorized by scientific expertise (e.g., immunology, gene therapy, bioprocessing).</w:t>
      </w:r>
    </w:p>
    <w:p w14:paraId="07200CFE" w14:textId="77777777" w:rsidR="00943B38" w:rsidRPr="00943B38" w:rsidRDefault="00943B38" w:rsidP="00943B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Diversity of candidate backgrounds (e.g., small molecule vs. biologics experience, academia vs. industry).</w:t>
      </w:r>
    </w:p>
    <w:p w14:paraId="739F25F7" w14:textId="77777777" w:rsidR="00943B38" w:rsidRPr="00943B38" w:rsidRDefault="00943B38" w:rsidP="00943B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Feedback from completed interviews, including technical assessments and cultural fit.</w:t>
      </w:r>
    </w:p>
    <w:p w14:paraId="3B806FB0" w14:textId="77777777" w:rsidR="00943B38" w:rsidRPr="00943B38" w:rsidRDefault="00943B38" w:rsidP="00943B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Anticipated timeline for next steps, offers, and potential impact on drug development timelines.</w:t>
      </w:r>
    </w:p>
    <w:p w14:paraId="49498FA0" w14:textId="77777777" w:rsidR="00943B38" w:rsidRPr="00943B38" w:rsidRDefault="00943B38" w:rsidP="00943B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Competitive intelligence on similar roles in the market and emerging talent pools.</w:t>
      </w:r>
    </w:p>
    <w:p w14:paraId="2617BB0D" w14:textId="77777777" w:rsidR="00943B38" w:rsidRPr="00943B38" w:rsidRDefault="00943B38" w:rsidP="00943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3B38">
        <w:rPr>
          <w:rFonts w:ascii="Times New Roman" w:eastAsia="Times New Roman" w:hAnsi="Times New Roman" w:cs="Times New Roman"/>
          <w:b/>
          <w:bCs/>
          <w:kern w:val="0"/>
          <w:sz w:val="27"/>
          <w:szCs w:val="27"/>
          <w14:ligatures w14:val="none"/>
        </w:rPr>
        <w:t>6. Stay Ahead of Industry Trends and Regulatory Landscape</w:t>
      </w:r>
    </w:p>
    <w:p w14:paraId="776FB7F6"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The pharma and biotech industries are constantly evolving, with new technologies, therapeutic approaches, and regulatory changes shaping the talent landscape. To effectively manage multiple requisitions:</w:t>
      </w:r>
    </w:p>
    <w:p w14:paraId="13F15B32" w14:textId="77777777" w:rsidR="00943B38" w:rsidRPr="00943B38" w:rsidRDefault="00943B38" w:rsidP="00943B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Regularly attend industry conferences (e.g., BIO, ASCO) to network and stay informed.</w:t>
      </w:r>
    </w:p>
    <w:p w14:paraId="2D444656" w14:textId="77777777" w:rsidR="00943B38" w:rsidRPr="00943B38" w:rsidRDefault="00943B38" w:rsidP="00943B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Subscribe to key publications (</w:t>
      </w:r>
      <w:r w:rsidRPr="00943B38">
        <w:rPr>
          <w:rFonts w:ascii="Times New Roman" w:eastAsia="Times New Roman" w:hAnsi="Times New Roman" w:cs="Times New Roman"/>
          <w:b/>
          <w:bCs/>
          <w:kern w:val="0"/>
          <w14:ligatures w14:val="none"/>
        </w:rPr>
        <w:t>Nature Biotechnology, Cell, New England Journal of Medicine</w:t>
      </w:r>
      <w:r w:rsidRPr="00943B38">
        <w:rPr>
          <w:rFonts w:ascii="Times New Roman" w:eastAsia="Times New Roman" w:hAnsi="Times New Roman" w:cs="Times New Roman"/>
          <w:kern w:val="0"/>
          <w14:ligatures w14:val="none"/>
        </w:rPr>
        <w:t>).</w:t>
      </w:r>
    </w:p>
    <w:p w14:paraId="2F4B1B6C" w14:textId="77777777" w:rsidR="00943B38" w:rsidRPr="00943B38" w:rsidRDefault="00943B38" w:rsidP="00943B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Follow thought leaders and companies on LinkedIn for real-time updates.</w:t>
      </w:r>
    </w:p>
    <w:p w14:paraId="6F67D154" w14:textId="77777777" w:rsidR="00943B38" w:rsidRPr="00943B38" w:rsidRDefault="00943B38" w:rsidP="00943B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Collaborate with your team to share knowledge on emerging areas like gene editing, cell therapy, or AI in drug discovery.</w:t>
      </w:r>
    </w:p>
    <w:p w14:paraId="7CD66E36" w14:textId="77777777" w:rsidR="00943B38" w:rsidRPr="00943B38" w:rsidRDefault="00943B38" w:rsidP="00943B38">
      <w:pPr>
        <w:spacing w:before="100" w:beforeAutospacing="1" w:after="100" w:afterAutospacing="1" w:line="240" w:lineRule="auto"/>
        <w:rPr>
          <w:rFonts w:ascii="Times New Roman" w:eastAsia="Times New Roman" w:hAnsi="Times New Roman" w:cs="Times New Roman"/>
          <w:kern w:val="0"/>
          <w14:ligatures w14:val="none"/>
        </w:rPr>
      </w:pPr>
      <w:r w:rsidRPr="00943B38">
        <w:rPr>
          <w:rFonts w:ascii="Times New Roman" w:eastAsia="Times New Roman" w:hAnsi="Times New Roman" w:cs="Times New Roman"/>
          <w:kern w:val="0"/>
          <w14:ligatures w14:val="none"/>
        </w:rPr>
        <w:t>By implementing these strategies, you'll be better equipped to handle the unique challenges of recruiting in the pharmaceutical and biotechnology industries. Remember, your work is crucial in building the teams that drive scientific innovation and improve patient outcomes. Stay focused on the bigger picture, and even small process improvements can have a significant impact on your clients' success in bringing life-changing therapies to market.</w:t>
      </w:r>
    </w:p>
    <w:p w14:paraId="2CD31F77" w14:textId="61700D80" w:rsidR="00AB65D4" w:rsidRDefault="00AB65D4" w:rsidP="00943B38"/>
    <w:sectPr w:rsidR="00AB6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032DB"/>
    <w:multiLevelType w:val="multilevel"/>
    <w:tmpl w:val="96E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256D9"/>
    <w:multiLevelType w:val="multilevel"/>
    <w:tmpl w:val="F00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D4EDC"/>
    <w:multiLevelType w:val="multilevel"/>
    <w:tmpl w:val="1AB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539F0"/>
    <w:multiLevelType w:val="multilevel"/>
    <w:tmpl w:val="E19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90E46"/>
    <w:multiLevelType w:val="multilevel"/>
    <w:tmpl w:val="A6F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31897">
    <w:abstractNumId w:val="0"/>
  </w:num>
  <w:num w:numId="2" w16cid:durableId="407390134">
    <w:abstractNumId w:val="3"/>
  </w:num>
  <w:num w:numId="3" w16cid:durableId="7804478">
    <w:abstractNumId w:val="2"/>
  </w:num>
  <w:num w:numId="4" w16cid:durableId="131481918">
    <w:abstractNumId w:val="4"/>
  </w:num>
  <w:num w:numId="5" w16cid:durableId="1285841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38"/>
    <w:rsid w:val="00773534"/>
    <w:rsid w:val="00943B38"/>
    <w:rsid w:val="00AB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4F051"/>
  <w15:chartTrackingRefBased/>
  <w15:docId w15:val="{8E4287F3-0EA8-423E-B2BF-7D1D2057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38"/>
    <w:rPr>
      <w:rFonts w:eastAsiaTheme="majorEastAsia" w:cstheme="majorBidi"/>
      <w:color w:val="272727" w:themeColor="text1" w:themeTint="D8"/>
    </w:rPr>
  </w:style>
  <w:style w:type="paragraph" w:styleId="Title">
    <w:name w:val="Title"/>
    <w:basedOn w:val="Normal"/>
    <w:next w:val="Normal"/>
    <w:link w:val="TitleChar"/>
    <w:uiPriority w:val="10"/>
    <w:qFormat/>
    <w:rsid w:val="00943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38"/>
    <w:pPr>
      <w:spacing w:before="160"/>
      <w:jc w:val="center"/>
    </w:pPr>
    <w:rPr>
      <w:i/>
      <w:iCs/>
      <w:color w:val="404040" w:themeColor="text1" w:themeTint="BF"/>
    </w:rPr>
  </w:style>
  <w:style w:type="character" w:customStyle="1" w:styleId="QuoteChar">
    <w:name w:val="Quote Char"/>
    <w:basedOn w:val="DefaultParagraphFont"/>
    <w:link w:val="Quote"/>
    <w:uiPriority w:val="29"/>
    <w:rsid w:val="00943B38"/>
    <w:rPr>
      <w:i/>
      <w:iCs/>
      <w:color w:val="404040" w:themeColor="text1" w:themeTint="BF"/>
    </w:rPr>
  </w:style>
  <w:style w:type="paragraph" w:styleId="ListParagraph">
    <w:name w:val="List Paragraph"/>
    <w:basedOn w:val="Normal"/>
    <w:uiPriority w:val="34"/>
    <w:qFormat/>
    <w:rsid w:val="00943B38"/>
    <w:pPr>
      <w:ind w:left="720"/>
      <w:contextualSpacing/>
    </w:pPr>
  </w:style>
  <w:style w:type="character" w:styleId="IntenseEmphasis">
    <w:name w:val="Intense Emphasis"/>
    <w:basedOn w:val="DefaultParagraphFont"/>
    <w:uiPriority w:val="21"/>
    <w:qFormat/>
    <w:rsid w:val="00943B38"/>
    <w:rPr>
      <w:i/>
      <w:iCs/>
      <w:color w:val="0F4761" w:themeColor="accent1" w:themeShade="BF"/>
    </w:rPr>
  </w:style>
  <w:style w:type="paragraph" w:styleId="IntenseQuote">
    <w:name w:val="Intense Quote"/>
    <w:basedOn w:val="Normal"/>
    <w:next w:val="Normal"/>
    <w:link w:val="IntenseQuoteChar"/>
    <w:uiPriority w:val="30"/>
    <w:qFormat/>
    <w:rsid w:val="00943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B38"/>
    <w:rPr>
      <w:i/>
      <w:iCs/>
      <w:color w:val="0F4761" w:themeColor="accent1" w:themeShade="BF"/>
    </w:rPr>
  </w:style>
  <w:style w:type="character" w:styleId="IntenseReference">
    <w:name w:val="Intense Reference"/>
    <w:basedOn w:val="DefaultParagraphFont"/>
    <w:uiPriority w:val="32"/>
    <w:qFormat/>
    <w:rsid w:val="00943B38"/>
    <w:rPr>
      <w:b/>
      <w:bCs/>
      <w:smallCaps/>
      <w:color w:val="0F4761" w:themeColor="accent1" w:themeShade="BF"/>
      <w:spacing w:val="5"/>
    </w:rPr>
  </w:style>
  <w:style w:type="table" w:styleId="TableGrid">
    <w:name w:val="Table Grid"/>
    <w:basedOn w:val="TableNormal"/>
    <w:uiPriority w:val="39"/>
    <w:rsid w:val="00943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43B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17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827</Words>
  <Characters>5193</Characters>
  <Application>Microsoft Office Word</Application>
  <DocSecurity>0</DocSecurity>
  <Lines>136</Lines>
  <Paragraphs>56</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2024-08-22T13:39:00Z</dcterms:created>
  <dcterms:modified xsi:type="dcterms:W3CDTF">2024-08-22T13:46:00Z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5d617104-a9b7-475c-a2f8-6f46fd2f347c</vt:lpwstr>
  </property>
</Properties>
</file>