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1064E" w14:textId="77777777" w:rsidR="002C339B" w:rsidRPr="002C339B" w:rsidRDefault="002C339B" w:rsidP="002C339B">
      <w:r w:rsidRPr="002C339B">
        <w:rPr>
          <w:b/>
          <w:bCs/>
        </w:rPr>
        <w:t>Introduction</w:t>
      </w:r>
    </w:p>
    <w:p w14:paraId="777BD3BF" w14:textId="77777777" w:rsidR="002C339B" w:rsidRPr="002C339B" w:rsidRDefault="002C339B" w:rsidP="002C339B">
      <w:r w:rsidRPr="002C339B">
        <w:t>Retaining top talent is one of the biggest challenges facing organizations today. Losing an employee can disrupt workflows, increase recruitment costs, and lower team morale. Yet, recognizing the signs that someone is about to quit remains elusive for many managers and HR professionals. This article delves into research-backed indicators of employee turnover, tools for assessing flight risk, and actionable strategies to enhance workplace retention and engagement.</w:t>
      </w:r>
    </w:p>
    <w:p w14:paraId="64773880" w14:textId="77777777" w:rsidR="002C339B" w:rsidRPr="002C339B" w:rsidRDefault="002C339B" w:rsidP="002C339B">
      <w:r w:rsidRPr="002C339B">
        <w:rPr>
          <w:b/>
          <w:bCs/>
        </w:rPr>
        <w:t>Research-Backed Predictive Employee Turnover Behaviors</w:t>
      </w:r>
    </w:p>
    <w:p w14:paraId="4CBF78EA" w14:textId="77777777" w:rsidR="002C339B" w:rsidRPr="002C339B" w:rsidRDefault="002C339B" w:rsidP="002C339B">
      <w:r w:rsidRPr="002C339B">
        <w:t>Studies show that employees often exhibit specific behaviors before resigning. Recognizing these can help managers take preventive action:</w:t>
      </w:r>
    </w:p>
    <w:p w14:paraId="688E90DB" w14:textId="77777777" w:rsidR="002C339B" w:rsidRPr="002C339B" w:rsidRDefault="002C339B" w:rsidP="002C339B">
      <w:pPr>
        <w:numPr>
          <w:ilvl w:val="0"/>
          <w:numId w:val="1"/>
        </w:numPr>
      </w:pPr>
      <w:r w:rsidRPr="002C339B">
        <w:rPr>
          <w:b/>
          <w:bCs/>
        </w:rPr>
        <w:t>Changes in Work Habits:</w:t>
      </w:r>
      <w:r w:rsidRPr="002C339B">
        <w:t xml:space="preserve"> A noticeable decline in productivity or increased absenteeism often signals disengagement </w:t>
      </w:r>
      <w:hyperlink r:id="rId5" w:history="1">
        <w:r w:rsidRPr="002C339B">
          <w:rPr>
            <w:rStyle w:val="Hyperlink"/>
          </w:rPr>
          <w:t>(Gardner et al., 2018)</w:t>
        </w:r>
      </w:hyperlink>
      <w:r w:rsidRPr="002C339B">
        <w:t>.</w:t>
      </w:r>
    </w:p>
    <w:p w14:paraId="40581852" w14:textId="77777777" w:rsidR="002C339B" w:rsidRPr="002C339B" w:rsidRDefault="002C339B" w:rsidP="002C339B">
      <w:pPr>
        <w:numPr>
          <w:ilvl w:val="0"/>
          <w:numId w:val="1"/>
        </w:numPr>
      </w:pPr>
      <w:r w:rsidRPr="002C339B">
        <w:rPr>
          <w:b/>
          <w:bCs/>
        </w:rPr>
        <w:t>Reduced Engagement:</w:t>
      </w:r>
      <w:r w:rsidRPr="002C339B">
        <w:t xml:space="preserve"> Employees withdrawing from meetings, contributing less to team projects, or showing disinterest in long-term initiatives may be contemplating departure </w:t>
      </w:r>
      <w:hyperlink r:id="rId6" w:history="1">
        <w:r w:rsidRPr="002C339B">
          <w:rPr>
            <w:rStyle w:val="Hyperlink"/>
          </w:rPr>
          <w:t>(Zhu, 2016)</w:t>
        </w:r>
      </w:hyperlink>
      <w:r w:rsidRPr="002C339B">
        <w:t>.</w:t>
      </w:r>
    </w:p>
    <w:p w14:paraId="0EA9D7CF" w14:textId="77777777" w:rsidR="002C339B" w:rsidRPr="002C339B" w:rsidRDefault="002C339B" w:rsidP="002C339B">
      <w:pPr>
        <w:numPr>
          <w:ilvl w:val="0"/>
          <w:numId w:val="1"/>
        </w:numPr>
      </w:pPr>
      <w:r w:rsidRPr="002C339B">
        <w:rPr>
          <w:b/>
          <w:bCs/>
        </w:rPr>
        <w:t>Attitudinal Shifts:</w:t>
      </w:r>
      <w:r w:rsidRPr="002C339B">
        <w:t xml:space="preserve"> Increased negativity, irritability, or withdrawal from peers can indicate dissatisfaction </w:t>
      </w:r>
      <w:hyperlink r:id="rId7" w:history="1">
        <w:r w:rsidRPr="002C339B">
          <w:rPr>
            <w:rStyle w:val="Hyperlink"/>
          </w:rPr>
          <w:t>(Hom et al., 2012)</w:t>
        </w:r>
      </w:hyperlink>
      <w:r w:rsidRPr="002C339B">
        <w:t>.</w:t>
      </w:r>
    </w:p>
    <w:p w14:paraId="24C8E7C2" w14:textId="77777777" w:rsidR="002C339B" w:rsidRPr="002C339B" w:rsidRDefault="002C339B" w:rsidP="002C339B">
      <w:r w:rsidRPr="002C339B">
        <w:rPr>
          <w:b/>
          <w:bCs/>
        </w:rPr>
        <w:t>Pre-Quitting Behavior Identification</w:t>
      </w:r>
    </w:p>
    <w:p w14:paraId="4A6FC2DC" w14:textId="77777777" w:rsidR="002C339B" w:rsidRPr="002C339B" w:rsidRDefault="002C339B" w:rsidP="002C339B">
      <w:r w:rsidRPr="002C339B">
        <w:t>Understanding the subtle signs of disengagement is essential for proactive management. Common indicators include:</w:t>
      </w:r>
    </w:p>
    <w:p w14:paraId="3C935367" w14:textId="77777777" w:rsidR="002C339B" w:rsidRPr="002C339B" w:rsidRDefault="002C339B" w:rsidP="002C339B">
      <w:pPr>
        <w:numPr>
          <w:ilvl w:val="0"/>
          <w:numId w:val="2"/>
        </w:numPr>
      </w:pPr>
      <w:r w:rsidRPr="002C339B">
        <w:rPr>
          <w:b/>
          <w:bCs/>
        </w:rPr>
        <w:t>Seeking External Validation:</w:t>
      </w:r>
      <w:r w:rsidRPr="002C339B">
        <w:t xml:space="preserve"> Employees updating their LinkedIn profiles or requesting external references </w:t>
      </w:r>
      <w:hyperlink r:id="rId8" w:history="1">
        <w:r w:rsidRPr="002C339B">
          <w:rPr>
            <w:rStyle w:val="Hyperlink"/>
          </w:rPr>
          <w:t>(Gardner et al., 2018)</w:t>
        </w:r>
      </w:hyperlink>
      <w:r w:rsidRPr="002C339B">
        <w:t>.</w:t>
      </w:r>
    </w:p>
    <w:p w14:paraId="7AF37C51" w14:textId="77777777" w:rsidR="002C339B" w:rsidRPr="002C339B" w:rsidRDefault="002C339B" w:rsidP="002C339B">
      <w:pPr>
        <w:numPr>
          <w:ilvl w:val="0"/>
          <w:numId w:val="2"/>
        </w:numPr>
      </w:pPr>
      <w:r w:rsidRPr="002C339B">
        <w:rPr>
          <w:b/>
          <w:bCs/>
        </w:rPr>
        <w:t>Scaling Back Commitments:</w:t>
      </w:r>
      <w:r w:rsidRPr="002C339B">
        <w:t xml:space="preserve"> Avoiding long-term projects or reducing voluntary participation in workplace activities </w:t>
      </w:r>
      <w:hyperlink r:id="rId9" w:history="1">
        <w:r w:rsidRPr="002C339B">
          <w:rPr>
            <w:rStyle w:val="Hyperlink"/>
          </w:rPr>
          <w:t>(Hom et al., 2012)</w:t>
        </w:r>
      </w:hyperlink>
      <w:r w:rsidRPr="002C339B">
        <w:t>.</w:t>
      </w:r>
    </w:p>
    <w:p w14:paraId="69F530D3" w14:textId="77777777" w:rsidR="002C339B" w:rsidRPr="002C339B" w:rsidRDefault="002C339B" w:rsidP="002C339B">
      <w:pPr>
        <w:numPr>
          <w:ilvl w:val="0"/>
          <w:numId w:val="2"/>
        </w:numPr>
      </w:pPr>
      <w:r w:rsidRPr="002C339B">
        <w:rPr>
          <w:b/>
          <w:bCs/>
        </w:rPr>
        <w:t>Expressing Dissatisfaction:</w:t>
      </w:r>
      <w:r w:rsidRPr="002C339B">
        <w:t xml:space="preserve"> Increased complaints about workload, management, or career progression </w:t>
      </w:r>
      <w:hyperlink r:id="rId10" w:history="1">
        <w:r w:rsidRPr="002C339B">
          <w:rPr>
            <w:rStyle w:val="Hyperlink"/>
          </w:rPr>
          <w:t>(</w:t>
        </w:r>
        <w:proofErr w:type="spellStart"/>
        <w:r w:rsidRPr="002C339B">
          <w:rPr>
            <w:rStyle w:val="Hyperlink"/>
          </w:rPr>
          <w:t>Nagadevara</w:t>
        </w:r>
        <w:proofErr w:type="spellEnd"/>
        <w:r w:rsidRPr="002C339B">
          <w:rPr>
            <w:rStyle w:val="Hyperlink"/>
          </w:rPr>
          <w:t xml:space="preserve"> et al., 2008)</w:t>
        </w:r>
      </w:hyperlink>
      <w:r w:rsidRPr="002C339B">
        <w:t>.</w:t>
      </w:r>
    </w:p>
    <w:p w14:paraId="7E5F032A" w14:textId="77777777" w:rsidR="002C339B" w:rsidRPr="002C339B" w:rsidRDefault="002C339B" w:rsidP="002C339B">
      <w:r w:rsidRPr="002C339B">
        <w:t>To effectively address these signals, managers should maintain open communication and document patterns of behavior that deviate from the norm.</w:t>
      </w:r>
    </w:p>
    <w:p w14:paraId="1E094D68" w14:textId="77777777" w:rsidR="002C339B" w:rsidRPr="002C339B" w:rsidRDefault="002C339B" w:rsidP="002C339B">
      <w:r w:rsidRPr="002C339B">
        <w:rPr>
          <w:b/>
          <w:bCs/>
        </w:rPr>
        <w:t>Employee Flight Risk Assessment Tools</w:t>
      </w:r>
    </w:p>
    <w:p w14:paraId="65EB5F07" w14:textId="77777777" w:rsidR="002C339B" w:rsidRPr="002C339B" w:rsidRDefault="002C339B" w:rsidP="002C339B">
      <w:r w:rsidRPr="002C339B">
        <w:t>Digital tools and analytics are transforming how organizations assess turnover risks. Some effective approaches include:</w:t>
      </w:r>
    </w:p>
    <w:p w14:paraId="11A97DFE" w14:textId="77777777" w:rsidR="002C339B" w:rsidRPr="002C339B" w:rsidRDefault="002C339B" w:rsidP="002C339B">
      <w:pPr>
        <w:numPr>
          <w:ilvl w:val="0"/>
          <w:numId w:val="3"/>
        </w:numPr>
      </w:pPr>
      <w:r w:rsidRPr="002C339B">
        <w:rPr>
          <w:b/>
          <w:bCs/>
        </w:rPr>
        <w:lastRenderedPageBreak/>
        <w:t>Predictive Analytics:</w:t>
      </w:r>
      <w:r w:rsidRPr="002C339B">
        <w:t xml:space="preserve"> Platforms that analyze patterns in employee performance, engagement, and historical turnover data to identify at-risk individuals </w:t>
      </w:r>
      <w:hyperlink r:id="rId11" w:history="1">
        <w:r w:rsidRPr="002C339B">
          <w:rPr>
            <w:rStyle w:val="Hyperlink"/>
          </w:rPr>
          <w:t>(</w:t>
        </w:r>
        <w:proofErr w:type="spellStart"/>
        <w:r w:rsidRPr="002C339B">
          <w:rPr>
            <w:rStyle w:val="Hyperlink"/>
          </w:rPr>
          <w:t>Alaskar</w:t>
        </w:r>
        <w:proofErr w:type="spellEnd"/>
        <w:r w:rsidRPr="002C339B">
          <w:rPr>
            <w:rStyle w:val="Hyperlink"/>
          </w:rPr>
          <w:t xml:space="preserve"> et al., 2019)</w:t>
        </w:r>
      </w:hyperlink>
      <w:r w:rsidRPr="002C339B">
        <w:t>.</w:t>
      </w:r>
    </w:p>
    <w:p w14:paraId="2E5322B6" w14:textId="77777777" w:rsidR="002C339B" w:rsidRPr="002C339B" w:rsidRDefault="002C339B" w:rsidP="002C339B">
      <w:pPr>
        <w:numPr>
          <w:ilvl w:val="0"/>
          <w:numId w:val="3"/>
        </w:numPr>
      </w:pPr>
      <w:r w:rsidRPr="002C339B">
        <w:rPr>
          <w:b/>
          <w:bCs/>
        </w:rPr>
        <w:t>Employee Surveys:</w:t>
      </w:r>
      <w:r w:rsidRPr="002C339B">
        <w:t xml:space="preserve"> Regularly measuring job satisfaction and engagement levels through pulse surveys </w:t>
      </w:r>
      <w:hyperlink r:id="rId12" w:history="1">
        <w:r w:rsidRPr="002C339B">
          <w:rPr>
            <w:rStyle w:val="Hyperlink"/>
          </w:rPr>
          <w:t>(</w:t>
        </w:r>
        <w:proofErr w:type="spellStart"/>
        <w:r w:rsidRPr="002C339B">
          <w:rPr>
            <w:rStyle w:val="Hyperlink"/>
          </w:rPr>
          <w:t>Yanchus</w:t>
        </w:r>
        <w:proofErr w:type="spellEnd"/>
        <w:r w:rsidRPr="002C339B">
          <w:rPr>
            <w:rStyle w:val="Hyperlink"/>
          </w:rPr>
          <w:t xml:space="preserve"> et al., 2017)</w:t>
        </w:r>
      </w:hyperlink>
      <w:r w:rsidRPr="002C339B">
        <w:t>.</w:t>
      </w:r>
    </w:p>
    <w:p w14:paraId="466764C0" w14:textId="77777777" w:rsidR="002C339B" w:rsidRPr="002C339B" w:rsidRDefault="002C339B" w:rsidP="002C339B">
      <w:pPr>
        <w:numPr>
          <w:ilvl w:val="0"/>
          <w:numId w:val="3"/>
        </w:numPr>
      </w:pPr>
      <w:r w:rsidRPr="002C339B">
        <w:rPr>
          <w:b/>
          <w:bCs/>
        </w:rPr>
        <w:t>Case Studies:</w:t>
      </w:r>
      <w:r w:rsidRPr="002C339B">
        <w:t xml:space="preserve"> For example, organizations that integrated AI-driven platforms saw a 20% reduction in voluntary turnover by addressing risks early </w:t>
      </w:r>
      <w:hyperlink r:id="rId13" w:history="1">
        <w:r w:rsidRPr="002C339B">
          <w:rPr>
            <w:rStyle w:val="Hyperlink"/>
          </w:rPr>
          <w:t>(Felps et al., 2009)</w:t>
        </w:r>
      </w:hyperlink>
      <w:r w:rsidRPr="002C339B">
        <w:t>.</w:t>
      </w:r>
    </w:p>
    <w:p w14:paraId="07910247" w14:textId="77777777" w:rsidR="002C339B" w:rsidRPr="002C339B" w:rsidRDefault="002C339B" w:rsidP="002C339B">
      <w:r w:rsidRPr="002C339B">
        <w:t>Leveraging these tools enables HR teams to intervene proactively, fostering a culture of retention.</w:t>
      </w:r>
    </w:p>
    <w:p w14:paraId="6111202E" w14:textId="77777777" w:rsidR="002C339B" w:rsidRPr="002C339B" w:rsidRDefault="002C339B" w:rsidP="002C339B">
      <w:r w:rsidRPr="002C339B">
        <w:rPr>
          <w:b/>
          <w:bCs/>
        </w:rPr>
        <w:t>Workplace Retention Strategies for Managers</w:t>
      </w:r>
    </w:p>
    <w:p w14:paraId="690C5C00" w14:textId="77777777" w:rsidR="002C339B" w:rsidRPr="002C339B" w:rsidRDefault="002C339B" w:rsidP="002C339B">
      <w:r w:rsidRPr="002C339B">
        <w:t>Building a supportive workplace environment is key to retaining top talent. Managers can implement the following strategies:</w:t>
      </w:r>
    </w:p>
    <w:p w14:paraId="1A325D4B" w14:textId="77777777" w:rsidR="002C339B" w:rsidRPr="002C339B" w:rsidRDefault="002C339B" w:rsidP="002C339B">
      <w:pPr>
        <w:numPr>
          <w:ilvl w:val="0"/>
          <w:numId w:val="4"/>
        </w:numPr>
      </w:pPr>
      <w:r w:rsidRPr="002C339B">
        <w:rPr>
          <w:b/>
          <w:bCs/>
        </w:rPr>
        <w:t>Recognition and Feedback:</w:t>
      </w:r>
      <w:r w:rsidRPr="002C339B">
        <w:t xml:space="preserve"> Regularly acknowledge employee contributions and provide constructive feedback </w:t>
      </w:r>
      <w:hyperlink r:id="rId14" w:history="1">
        <w:r w:rsidRPr="002C339B">
          <w:rPr>
            <w:rStyle w:val="Hyperlink"/>
          </w:rPr>
          <w:t>(Firth et al., 2004)</w:t>
        </w:r>
      </w:hyperlink>
      <w:r w:rsidRPr="002C339B">
        <w:t>.</w:t>
      </w:r>
    </w:p>
    <w:p w14:paraId="1931D24D" w14:textId="77777777" w:rsidR="002C339B" w:rsidRPr="002C339B" w:rsidRDefault="002C339B" w:rsidP="002C339B">
      <w:pPr>
        <w:numPr>
          <w:ilvl w:val="0"/>
          <w:numId w:val="4"/>
        </w:numPr>
      </w:pPr>
      <w:r w:rsidRPr="002C339B">
        <w:rPr>
          <w:b/>
          <w:bCs/>
        </w:rPr>
        <w:t>Career Alignment:</w:t>
      </w:r>
      <w:r w:rsidRPr="002C339B">
        <w:t xml:space="preserve"> Help employees align their roles with personal aspirations through tailored growth opportunities </w:t>
      </w:r>
      <w:hyperlink r:id="rId15" w:history="1">
        <w:r w:rsidRPr="002C339B">
          <w:rPr>
            <w:rStyle w:val="Hyperlink"/>
          </w:rPr>
          <w:t>(Waldman et al., 2015)</w:t>
        </w:r>
      </w:hyperlink>
      <w:r w:rsidRPr="002C339B">
        <w:t>.</w:t>
      </w:r>
    </w:p>
    <w:p w14:paraId="275D9576" w14:textId="77777777" w:rsidR="002C339B" w:rsidRPr="002C339B" w:rsidRDefault="002C339B" w:rsidP="002C339B">
      <w:pPr>
        <w:numPr>
          <w:ilvl w:val="0"/>
          <w:numId w:val="4"/>
        </w:numPr>
      </w:pPr>
      <w:r w:rsidRPr="002C339B">
        <w:rPr>
          <w:b/>
          <w:bCs/>
        </w:rPr>
        <w:t>Addressing Burnout:</w:t>
      </w:r>
      <w:r w:rsidRPr="002C339B">
        <w:t xml:space="preserve"> Encourage work-life balance, promote wellness initiatives, and provide resources to manage stress </w:t>
      </w:r>
      <w:hyperlink r:id="rId16" w:history="1">
        <w:r w:rsidRPr="002C339B">
          <w:rPr>
            <w:rStyle w:val="Hyperlink"/>
          </w:rPr>
          <w:t>(Vandenberg &amp; Nelson, 1999)</w:t>
        </w:r>
      </w:hyperlink>
      <w:r w:rsidRPr="002C339B">
        <w:t>.</w:t>
      </w:r>
    </w:p>
    <w:p w14:paraId="4C3BA044" w14:textId="77777777" w:rsidR="002C339B" w:rsidRPr="002C339B" w:rsidRDefault="002C339B" w:rsidP="002C339B">
      <w:r w:rsidRPr="002C339B">
        <w:t>These strategies not only improve retention but also strengthen overall team performance.</w:t>
      </w:r>
    </w:p>
    <w:p w14:paraId="268026B9" w14:textId="77777777" w:rsidR="002C339B" w:rsidRPr="002C339B" w:rsidRDefault="002C339B" w:rsidP="002C339B">
      <w:r w:rsidRPr="002C339B">
        <w:rPr>
          <w:b/>
          <w:bCs/>
        </w:rPr>
        <w:t>Preventing Voluntary Employee Turnover with Engagement Tactics</w:t>
      </w:r>
    </w:p>
    <w:p w14:paraId="1D5A4EC4" w14:textId="77777777" w:rsidR="002C339B" w:rsidRPr="002C339B" w:rsidRDefault="002C339B" w:rsidP="002C339B">
      <w:r w:rsidRPr="002C339B">
        <w:t>High levels of employee engagement are critical to reducing turnover. Key tactics include:</w:t>
      </w:r>
    </w:p>
    <w:p w14:paraId="2C8C7A97" w14:textId="77777777" w:rsidR="002C339B" w:rsidRPr="002C339B" w:rsidRDefault="002C339B" w:rsidP="002C339B">
      <w:pPr>
        <w:numPr>
          <w:ilvl w:val="0"/>
          <w:numId w:val="5"/>
        </w:numPr>
      </w:pPr>
      <w:r w:rsidRPr="002C339B">
        <w:rPr>
          <w:b/>
          <w:bCs/>
        </w:rPr>
        <w:t>Fostering Trust:</w:t>
      </w:r>
      <w:r w:rsidRPr="002C339B">
        <w:t xml:space="preserve"> Transparent communication and involving employees in decision-making processes build loyalty </w:t>
      </w:r>
      <w:hyperlink r:id="rId17" w:history="1">
        <w:r w:rsidRPr="002C339B">
          <w:rPr>
            <w:rStyle w:val="Hyperlink"/>
          </w:rPr>
          <w:t>(Hom et al., 2012)</w:t>
        </w:r>
      </w:hyperlink>
      <w:r w:rsidRPr="002C339B">
        <w:t>.</w:t>
      </w:r>
    </w:p>
    <w:p w14:paraId="2447ADFA" w14:textId="77777777" w:rsidR="002C339B" w:rsidRPr="002C339B" w:rsidRDefault="002C339B" w:rsidP="002C339B">
      <w:pPr>
        <w:numPr>
          <w:ilvl w:val="0"/>
          <w:numId w:val="5"/>
        </w:numPr>
      </w:pPr>
      <w:r w:rsidRPr="002C339B">
        <w:rPr>
          <w:b/>
          <w:bCs/>
        </w:rPr>
        <w:t>Skill Development:</w:t>
      </w:r>
      <w:r w:rsidRPr="002C339B">
        <w:t xml:space="preserve"> Offer programs for training, mentorship, and career advancement </w:t>
      </w:r>
      <w:hyperlink r:id="rId18" w:history="1">
        <w:r w:rsidRPr="002C339B">
          <w:rPr>
            <w:rStyle w:val="Hyperlink"/>
          </w:rPr>
          <w:t>(Chen et al., 1998)</w:t>
        </w:r>
      </w:hyperlink>
      <w:r w:rsidRPr="002C339B">
        <w:t>.</w:t>
      </w:r>
    </w:p>
    <w:p w14:paraId="6CEA0F5B" w14:textId="77777777" w:rsidR="002C339B" w:rsidRPr="002C339B" w:rsidRDefault="002C339B" w:rsidP="002C339B">
      <w:pPr>
        <w:numPr>
          <w:ilvl w:val="0"/>
          <w:numId w:val="5"/>
        </w:numPr>
      </w:pPr>
      <w:r w:rsidRPr="002C339B">
        <w:rPr>
          <w:b/>
          <w:bCs/>
        </w:rPr>
        <w:t>Biotech/Pharma-Specific Examples:</w:t>
      </w:r>
      <w:r w:rsidRPr="002C339B">
        <w:t xml:space="preserve"> In industries like biotech, providing opportunities to contribute to groundbreaking research can enhance job satisfaction </w:t>
      </w:r>
      <w:hyperlink r:id="rId19" w:history="1">
        <w:r w:rsidRPr="002C339B">
          <w:rPr>
            <w:rStyle w:val="Hyperlink"/>
          </w:rPr>
          <w:t>(Reina et al., 2018)</w:t>
        </w:r>
      </w:hyperlink>
      <w:r w:rsidRPr="002C339B">
        <w:t>.</w:t>
      </w:r>
    </w:p>
    <w:p w14:paraId="6A5C1775" w14:textId="77777777" w:rsidR="002C339B" w:rsidRPr="002C339B" w:rsidRDefault="002C339B" w:rsidP="002C339B">
      <w:r w:rsidRPr="002C339B">
        <w:t>By prioritizing engagement, organizations create a workforce that is motivated, loyal, and less likely to leave.</w:t>
      </w:r>
    </w:p>
    <w:p w14:paraId="69FCD804" w14:textId="77777777" w:rsidR="002C339B" w:rsidRPr="002C339B" w:rsidRDefault="002C339B" w:rsidP="002C339B">
      <w:r w:rsidRPr="002C339B">
        <w:rPr>
          <w:b/>
          <w:bCs/>
        </w:rPr>
        <w:lastRenderedPageBreak/>
        <w:t>Conclusion</w:t>
      </w:r>
    </w:p>
    <w:p w14:paraId="23F7FC9A" w14:textId="77777777" w:rsidR="002C339B" w:rsidRPr="002C339B" w:rsidRDefault="002C339B" w:rsidP="002C339B">
      <w:r w:rsidRPr="002C339B">
        <w:t>Predicting and preventing employee turnover requires a combination of observation, tools, and proactive strategies. Recognizing pre-quitting behaviors and addressing them through tailored interventions can save organizations significant time and resources. By investing in employee engagement and retention strategies, managers can build a resilient and committed workforce. Now is the time to act—start leveraging these insights and tools to secure your organization’s talent pipeline.</w:t>
      </w:r>
    </w:p>
    <w:p w14:paraId="247FA1F5" w14:textId="77777777" w:rsidR="00EA3878" w:rsidRDefault="00EA3878"/>
    <w:sectPr w:rsidR="00EA3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51CC1"/>
    <w:multiLevelType w:val="multilevel"/>
    <w:tmpl w:val="9C2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E1925"/>
    <w:multiLevelType w:val="multilevel"/>
    <w:tmpl w:val="CE1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D4E9A"/>
    <w:multiLevelType w:val="multilevel"/>
    <w:tmpl w:val="485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57025"/>
    <w:multiLevelType w:val="multilevel"/>
    <w:tmpl w:val="1F7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325DA"/>
    <w:multiLevelType w:val="multilevel"/>
    <w:tmpl w:val="CB7C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753742">
    <w:abstractNumId w:val="4"/>
  </w:num>
  <w:num w:numId="2" w16cid:durableId="414254255">
    <w:abstractNumId w:val="1"/>
  </w:num>
  <w:num w:numId="3" w16cid:durableId="1622413692">
    <w:abstractNumId w:val="3"/>
  </w:num>
  <w:num w:numId="4" w16cid:durableId="111941081">
    <w:abstractNumId w:val="0"/>
  </w:num>
  <w:num w:numId="5" w16cid:durableId="892811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39B"/>
    <w:rsid w:val="0008281B"/>
    <w:rsid w:val="002C339B"/>
    <w:rsid w:val="00EA3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909FE"/>
  <w15:chartTrackingRefBased/>
  <w15:docId w15:val="{C83E29E1-7978-478D-B192-E9C56DC8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39B"/>
    <w:rPr>
      <w:rFonts w:eastAsiaTheme="majorEastAsia" w:cstheme="majorBidi"/>
      <w:color w:val="272727" w:themeColor="text1" w:themeTint="D8"/>
    </w:rPr>
  </w:style>
  <w:style w:type="paragraph" w:styleId="Title">
    <w:name w:val="Title"/>
    <w:basedOn w:val="Normal"/>
    <w:next w:val="Normal"/>
    <w:link w:val="TitleChar"/>
    <w:uiPriority w:val="10"/>
    <w:qFormat/>
    <w:rsid w:val="002C3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39B"/>
    <w:pPr>
      <w:spacing w:before="160"/>
      <w:jc w:val="center"/>
    </w:pPr>
    <w:rPr>
      <w:i/>
      <w:iCs/>
      <w:color w:val="404040" w:themeColor="text1" w:themeTint="BF"/>
    </w:rPr>
  </w:style>
  <w:style w:type="character" w:customStyle="1" w:styleId="QuoteChar">
    <w:name w:val="Quote Char"/>
    <w:basedOn w:val="DefaultParagraphFont"/>
    <w:link w:val="Quote"/>
    <w:uiPriority w:val="29"/>
    <w:rsid w:val="002C339B"/>
    <w:rPr>
      <w:i/>
      <w:iCs/>
      <w:color w:val="404040" w:themeColor="text1" w:themeTint="BF"/>
    </w:rPr>
  </w:style>
  <w:style w:type="paragraph" w:styleId="ListParagraph">
    <w:name w:val="List Paragraph"/>
    <w:basedOn w:val="Normal"/>
    <w:uiPriority w:val="34"/>
    <w:qFormat/>
    <w:rsid w:val="002C339B"/>
    <w:pPr>
      <w:ind w:left="720"/>
      <w:contextualSpacing/>
    </w:pPr>
  </w:style>
  <w:style w:type="character" w:styleId="IntenseEmphasis">
    <w:name w:val="Intense Emphasis"/>
    <w:basedOn w:val="DefaultParagraphFont"/>
    <w:uiPriority w:val="21"/>
    <w:qFormat/>
    <w:rsid w:val="002C339B"/>
    <w:rPr>
      <w:i/>
      <w:iCs/>
      <w:color w:val="0F4761" w:themeColor="accent1" w:themeShade="BF"/>
    </w:rPr>
  </w:style>
  <w:style w:type="paragraph" w:styleId="IntenseQuote">
    <w:name w:val="Intense Quote"/>
    <w:basedOn w:val="Normal"/>
    <w:next w:val="Normal"/>
    <w:link w:val="IntenseQuoteChar"/>
    <w:uiPriority w:val="30"/>
    <w:qFormat/>
    <w:rsid w:val="002C3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39B"/>
    <w:rPr>
      <w:i/>
      <w:iCs/>
      <w:color w:val="0F4761" w:themeColor="accent1" w:themeShade="BF"/>
    </w:rPr>
  </w:style>
  <w:style w:type="character" w:styleId="IntenseReference">
    <w:name w:val="Intense Reference"/>
    <w:basedOn w:val="DefaultParagraphFont"/>
    <w:uiPriority w:val="32"/>
    <w:qFormat/>
    <w:rsid w:val="002C339B"/>
    <w:rPr>
      <w:b/>
      <w:bCs/>
      <w:smallCaps/>
      <w:color w:val="0F4761" w:themeColor="accent1" w:themeShade="BF"/>
      <w:spacing w:val="5"/>
    </w:rPr>
  </w:style>
  <w:style w:type="character" w:styleId="Hyperlink">
    <w:name w:val="Hyperlink"/>
    <w:basedOn w:val="DefaultParagraphFont"/>
    <w:uiPriority w:val="99"/>
    <w:unhideWhenUsed/>
    <w:rsid w:val="002C339B"/>
    <w:rPr>
      <w:color w:val="467886" w:themeColor="hyperlink"/>
      <w:u w:val="single"/>
    </w:rPr>
  </w:style>
  <w:style w:type="character" w:styleId="UnresolvedMention">
    <w:name w:val="Unresolved Mention"/>
    <w:basedOn w:val="DefaultParagraphFont"/>
    <w:uiPriority w:val="99"/>
    <w:semiHidden/>
    <w:unhideWhenUsed/>
    <w:rsid w:val="002C3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383049">
      <w:bodyDiv w:val="1"/>
      <w:marLeft w:val="0"/>
      <w:marRight w:val="0"/>
      <w:marTop w:val="0"/>
      <w:marBottom w:val="0"/>
      <w:divBdr>
        <w:top w:val="none" w:sz="0" w:space="0" w:color="auto"/>
        <w:left w:val="none" w:sz="0" w:space="0" w:color="auto"/>
        <w:bottom w:val="none" w:sz="0" w:space="0" w:color="auto"/>
        <w:right w:val="none" w:sz="0" w:space="0" w:color="auto"/>
      </w:divBdr>
    </w:div>
    <w:div w:id="113667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ensus.app/papers/if-you-&#8217;-ve-got-leavin-&#8217;-on-your-mind-the-identification-and-gardner-iddekinge/da55e2b0f512508a94f5c04da914767d/?utm_source=chatgpt" TargetMode="External"/><Relationship Id="rId13" Type="http://schemas.openxmlformats.org/officeDocument/2006/relationships/hyperlink" Target="https://consensus.app/papers/turnover-contagion-how-coworkers-job-embeddedness-and-job-felps-mitchell/311c4ffa48bc5a96bf2deda170e4b8b4/?utm_source=chatgpt" TargetMode="External"/><Relationship Id="rId18" Type="http://schemas.openxmlformats.org/officeDocument/2006/relationships/hyperlink" Target="https://consensus.app/papers/the-role-of-organizational-citizenship-behavior-in-chen-hui/44b0eef26c2558108bc7089c67488c1f/?utm_source=chatgp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nsensus.app/papers/reviewing-employee-turnover-focusing-on-proximal-hom-mitchell/d3a8d7401faf5caf994974cd9e3b072c/?utm_source=chatgpt" TargetMode="External"/><Relationship Id="rId12" Type="http://schemas.openxmlformats.org/officeDocument/2006/relationships/hyperlink" Target="https://consensus.app/papers/further-examination-of-predictors-of-turnover-intention-yanchus-periard/5e3b3b7f422d59e88b5aa58e178c463a/?utm_source=chatgpt" TargetMode="External"/><Relationship Id="rId17" Type="http://schemas.openxmlformats.org/officeDocument/2006/relationships/hyperlink" Target="https://consensus.app/papers/reviewing-employee-turnover-focusing-on-proximal-hom-mitchell/d3a8d7401faf5caf994974cd9e3b072c/?utm_source=chatgpt" TargetMode="External"/><Relationship Id="rId2" Type="http://schemas.openxmlformats.org/officeDocument/2006/relationships/styles" Target="styles.xml"/><Relationship Id="rId16" Type="http://schemas.openxmlformats.org/officeDocument/2006/relationships/hyperlink" Target="https://consensus.app/papers/disaggregating-the-motives-underlying-turnover-vandenberg-nelson/9f2234b212515ad9b50ccccf9d51e7b1/?utm_source=chatgp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nsensus.app/papers/forecasting-employee-turnover-in-large-organizations-zhu/1809ce6331f15d0184e167ee2f9bc3ba/?utm_source=chatgpt" TargetMode="External"/><Relationship Id="rId11" Type="http://schemas.openxmlformats.org/officeDocument/2006/relationships/hyperlink" Target="https://consensus.app/papers/employee-turnover-prediction-using-machine-learning-alaskar-crane/dcaf150529ad546587f7e4331562404e/?utm_source=chatgpt" TargetMode="External"/><Relationship Id="rId5" Type="http://schemas.openxmlformats.org/officeDocument/2006/relationships/hyperlink" Target="https://consensus.app/papers/if-you-&#8217;-ve-got-leavin-&#8217;-on-your-mind-the-identification-and-gardner-iddekinge/da55e2b0f512508a94f5c04da914767d/?utm_source=chatgpt" TargetMode="External"/><Relationship Id="rId15" Type="http://schemas.openxmlformats.org/officeDocument/2006/relationships/hyperlink" Target="https://consensus.app/papers/a-multilevel-investigation-of-leadership-and-turnover-waldman-carter/b475a6b19c155ec094e5c242e401c31b/?utm_source=chatgpt" TargetMode="External"/><Relationship Id="rId10" Type="http://schemas.openxmlformats.org/officeDocument/2006/relationships/hyperlink" Target="https://consensus.app/papers/establishing-a-link-between-employee-turnover-and-nagadevara-srinivasan/edb6eb4321ec596d98463e33b979738e/?utm_source=chatgpt" TargetMode="External"/><Relationship Id="rId19" Type="http://schemas.openxmlformats.org/officeDocument/2006/relationships/hyperlink" Target="https://consensus.app/papers/quitting-the-boss-the-role-of-manager-influence-tactics-and-reina-rogers/16d6fedfa0bd5f5090d247c3f4c7b8ec/?utm_source=chatgpt" TargetMode="External"/><Relationship Id="rId4" Type="http://schemas.openxmlformats.org/officeDocument/2006/relationships/webSettings" Target="webSettings.xml"/><Relationship Id="rId9" Type="http://schemas.openxmlformats.org/officeDocument/2006/relationships/hyperlink" Target="https://consensus.app/papers/reviewing-employee-turnover-focusing-on-proximal-hom-mitchell/d3a8d7401faf5caf994974cd9e3b072c/?utm_source=chatgpt" TargetMode="External"/><Relationship Id="rId14" Type="http://schemas.openxmlformats.org/officeDocument/2006/relationships/hyperlink" Target="https://consensus.app/papers/how-can-managers-reduce-employee-intention-to-quit-firth-mellor/8b2e115acf4054ba8fcf5ec120eecd72/?utm_source=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6290</Characters>
  <Application>Microsoft Office Word</Application>
  <DocSecurity>0</DocSecurity>
  <Lines>52</Lines>
  <Paragraphs>13</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2025-01-02T13:40:00Z</dcterms:created>
  <dcterms:modified xsi:type="dcterms:W3CDTF">2025-01-02T13:41:00Z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6f630fdb-6df1-4699-9fe6-c6aedbdba74c</vt:lpwstr>
  </property>
</Properties>
</file>