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50" w:type="dxa"/>
        <w:jc w:val="center"/>
        <w:tblCellMar>
          <w:left w:w="0" w:type="dxa"/>
          <w:right w:w="0" w:type="dxa"/>
        </w:tblCellMar>
        <w:tblLook w:val="04A0" w:firstRow="1" w:lastRow="0" w:firstColumn="1" w:lastColumn="0" w:noHBand="0" w:noVBand="1"/>
      </w:tblPr>
      <w:tblGrid>
        <w:gridCol w:w="9750"/>
      </w:tblGrid>
      <w:tr w:rsidR="00A507FF" w:rsidRPr="00A507FF" w14:paraId="05BD025C" w14:textId="77777777">
        <w:trPr>
          <w:jc w:val="center"/>
        </w:trPr>
        <w:tc>
          <w:tcPr>
            <w:tcW w:w="0" w:type="auto"/>
            <w:tcMar>
              <w:top w:w="0" w:type="dxa"/>
              <w:left w:w="180" w:type="dxa"/>
              <w:bottom w:w="0" w:type="dxa"/>
              <w:right w:w="180" w:type="dxa"/>
            </w:tcMar>
            <w:vAlign w:val="center"/>
            <w:hideMark/>
          </w:tcPr>
          <w:tbl>
            <w:tblPr>
              <w:tblW w:w="5000" w:type="pct"/>
              <w:tblCellMar>
                <w:left w:w="0" w:type="dxa"/>
                <w:right w:w="0" w:type="dxa"/>
              </w:tblCellMar>
              <w:tblLook w:val="04A0" w:firstRow="1" w:lastRow="0" w:firstColumn="1" w:lastColumn="0" w:noHBand="0" w:noVBand="1"/>
            </w:tblPr>
            <w:tblGrid>
              <w:gridCol w:w="9390"/>
            </w:tblGrid>
            <w:tr w:rsidR="00A507FF" w:rsidRPr="00A507FF" w14:paraId="1B71EAB0" w14:textId="77777777">
              <w:tc>
                <w:tcPr>
                  <w:tcW w:w="0" w:type="auto"/>
                  <w:vAlign w:val="center"/>
                  <w:hideMark/>
                </w:tcPr>
                <w:p w14:paraId="3CEB5471" w14:textId="77777777" w:rsidR="00A507FF" w:rsidRPr="00A507FF" w:rsidRDefault="00A507FF" w:rsidP="00A507FF">
                  <w:pPr>
                    <w:spacing w:after="150" w:line="240" w:lineRule="auto"/>
                    <w:textAlignment w:val="baseline"/>
                    <w:outlineLvl w:val="0"/>
                    <w:rPr>
                      <w:rFonts w:ascii="Arial" w:eastAsia="Times New Roman" w:hAnsi="Arial" w:cs="Arial"/>
                      <w:b/>
                      <w:bCs/>
                      <w:color w:val="000000"/>
                      <w:kern w:val="36"/>
                      <w:sz w:val="36"/>
                      <w:szCs w:val="36"/>
                      <w14:ligatures w14:val="none"/>
                    </w:rPr>
                  </w:pPr>
                  <w:r w:rsidRPr="00A507FF">
                    <w:rPr>
                      <w:rFonts w:ascii="Arial" w:eastAsia="Times New Roman" w:hAnsi="Arial" w:cs="Arial"/>
                      <w:b/>
                      <w:bCs/>
                      <w:color w:val="000000"/>
                      <w:kern w:val="36"/>
                      <w:sz w:val="36"/>
                      <w:szCs w:val="36"/>
                      <w14:ligatures w14:val="none"/>
                    </w:rPr>
                    <w:t>The FDA raises the bar in rare diseases</w:t>
                  </w:r>
                </w:p>
                <w:p w14:paraId="2B135030" w14:textId="062F839B" w:rsidR="00A507FF" w:rsidRPr="00A507FF" w:rsidRDefault="00A507FF" w:rsidP="00A507FF">
                  <w:pPr>
                    <w:spacing w:after="180" w:line="240" w:lineRule="auto"/>
                    <w:jc w:val="right"/>
                    <w:textAlignment w:val="baseline"/>
                    <w:outlineLvl w:val="4"/>
                    <w:rPr>
                      <w:rFonts w:ascii="Arial" w:eastAsia="Times New Roman" w:hAnsi="Arial" w:cs="Arial"/>
                      <w:i/>
                      <w:iCs/>
                      <w:color w:val="6A7580"/>
                      <w:kern w:val="0"/>
                      <w:sz w:val="18"/>
                      <w:szCs w:val="18"/>
                      <w14:ligatures w14:val="none"/>
                    </w:rPr>
                  </w:pPr>
                  <w:r w:rsidRPr="00A507FF">
                    <w:rPr>
                      <w:rFonts w:ascii="Arial" w:eastAsia="Times New Roman" w:hAnsi="Arial" w:cs="Arial"/>
                      <w:i/>
                      <w:iCs/>
                      <w:color w:val="6A7580"/>
                      <w:kern w:val="0"/>
                      <w:sz w:val="18"/>
                      <w:szCs w:val="18"/>
                      <w14:ligatures w14:val="none"/>
                    </w:rPr>
                    <w:t>Adam Feuerstein/STAT</w:t>
                  </w:r>
                </w:p>
                <w:p w14:paraId="1EF812D0"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I want to return to the conversation I had at our JPM Week live event with biotech investors Rod Wong and Agustin Mohedas. You will not be surprised to learn that the Food and Drug Administration and its impact on biotech came up. </w:t>
                  </w:r>
                </w:p>
                <w:p w14:paraId="2DF67314"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“I frame it this way,” Wong said. “In the positive column, [FDA Commissioner Marty] Makary has announced all these great ideas to accelerate drug development. If the agency delivers, it’s going to be wonderful. But on the negative side, we’ve seen from the actions that they’ve taken on filings last year that the FDA is raising the bar in rare diseases.”</w:t>
                  </w:r>
                </w:p>
                <w:p w14:paraId="62A9A4F9"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FDA approvals of new drugs overall were down last year versus prior years, Wong said; rejections of rare-disease drug applications increased. The shifts were especially noticeable for cell and gene therapies regulated by the FDA’s Center for Biologics Evaluation and Research (CBER), led by Vinay Prasad. </w:t>
                  </w:r>
                </w:p>
                <w:p w14:paraId="212AD514"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The doctrine of regulatory flexibility espoused by former CBER chief Peter Marks has been largely thrown out by Prasad, Wong believes, except in certain circumstances. </w:t>
                  </w:r>
                </w:p>
                <w:p w14:paraId="033D13F8"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“The net result of the FDA’s positive and negative actions is that you’re going to see a decrease in innovation in rare diseases,” Wong added. “I’m a big advocate for rare diseases, aside from being an investor, so I think this isn’t great for innovation.” </w:t>
                  </w:r>
                </w:p>
                <w:p w14:paraId="5933D14E"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Mohedas added, “Consistency is most important and we </w:t>
                  </w:r>
                  <w:proofErr w:type="gramStart"/>
                  <w:r w:rsidRPr="00A507FF">
                    <w:rPr>
                      <w:rFonts w:ascii="Georgia" w:eastAsia="Times New Roman" w:hAnsi="Georgia" w:cs="Times New Roman"/>
                      <w:color w:val="000000"/>
                      <w:kern w:val="0"/>
                      <w:sz w:val="27"/>
                      <w:szCs w:val="27"/>
                      <w14:ligatures w14:val="none"/>
                    </w:rPr>
                    <w:t>definitely lack</w:t>
                  </w:r>
                  <w:proofErr w:type="gramEnd"/>
                  <w:r w:rsidRPr="00A507FF">
                    <w:rPr>
                      <w:rFonts w:ascii="Georgia" w:eastAsia="Times New Roman" w:hAnsi="Georgia" w:cs="Times New Roman"/>
                      <w:color w:val="000000"/>
                      <w:kern w:val="0"/>
                      <w:sz w:val="27"/>
                      <w:szCs w:val="27"/>
                      <w14:ligatures w14:val="none"/>
                    </w:rPr>
                    <w:t xml:space="preserve"> that right now. When things are constantly shifting, when there's no direction, when FDA leadership is saying great things, but then what they’re saying is not being executed on the ground level, it’s </w:t>
                  </w:r>
                  <w:proofErr w:type="gramStart"/>
                  <w:r w:rsidRPr="00A507FF">
                    <w:rPr>
                      <w:rFonts w:ascii="Georgia" w:eastAsia="Times New Roman" w:hAnsi="Georgia" w:cs="Times New Roman"/>
                      <w:color w:val="000000"/>
                      <w:kern w:val="0"/>
                      <w:sz w:val="27"/>
                      <w:szCs w:val="27"/>
                      <w14:ligatures w14:val="none"/>
                    </w:rPr>
                    <w:t>really hard</w:t>
                  </w:r>
                  <w:proofErr w:type="gramEnd"/>
                  <w:r w:rsidRPr="00A507FF">
                    <w:rPr>
                      <w:rFonts w:ascii="Georgia" w:eastAsia="Times New Roman" w:hAnsi="Georgia" w:cs="Times New Roman"/>
                      <w:color w:val="000000"/>
                      <w:kern w:val="0"/>
                      <w:sz w:val="27"/>
                      <w:szCs w:val="27"/>
                      <w14:ligatures w14:val="none"/>
                    </w:rPr>
                    <w:t xml:space="preserve"> for investors to back companies … The bar goes up quite a bit.” </w:t>
                  </w:r>
                </w:p>
                <w:p w14:paraId="33F190BB" w14:textId="77777777" w:rsidR="00A507FF" w:rsidRPr="00A507FF" w:rsidRDefault="00A507FF" w:rsidP="00A507FF">
                  <w:pPr>
                    <w:spacing w:before="420" w:after="495"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pict w14:anchorId="7D4A212A">
                      <v:rect id="_x0000_i1025" style="width:0;height:1.5pt" o:hralign="center" o:hrstd="t" o:hrnoshade="t" o:hr="t" fillcolor="#d0d6db" stroked="f"/>
                    </w:pict>
                  </w:r>
                </w:p>
                <w:p w14:paraId="1637DD39" w14:textId="77777777" w:rsidR="00A507FF" w:rsidRPr="00A507FF" w:rsidRDefault="00A507FF" w:rsidP="00A507FF">
                  <w:pPr>
                    <w:spacing w:before="420" w:after="495"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lastRenderedPageBreak/>
                    <w:pict w14:anchorId="1FE7332F">
                      <v:rect id="_x0000_i1026" style="width:0;height:1.5pt" o:hralign="center" o:hrstd="t" o:hrnoshade="t" o:hr="t" fillcolor="#d0d6db" stroked="f"/>
                    </w:pict>
                  </w:r>
                </w:p>
                <w:p w14:paraId="782E890E" w14:textId="77777777" w:rsidR="00A507FF" w:rsidRPr="00A507FF" w:rsidRDefault="00A507FF" w:rsidP="00A507FF">
                  <w:pPr>
                    <w:spacing w:after="150" w:line="240" w:lineRule="auto"/>
                    <w:textAlignment w:val="baseline"/>
                    <w:outlineLvl w:val="0"/>
                    <w:rPr>
                      <w:rFonts w:ascii="Arial" w:eastAsia="Times New Roman" w:hAnsi="Arial" w:cs="Arial"/>
                      <w:b/>
                      <w:bCs/>
                      <w:color w:val="000000"/>
                      <w:kern w:val="36"/>
                      <w:sz w:val="36"/>
                      <w:szCs w:val="36"/>
                      <w14:ligatures w14:val="none"/>
                    </w:rPr>
                  </w:pPr>
                  <w:proofErr w:type="spellStart"/>
                  <w:r w:rsidRPr="00A507FF">
                    <w:rPr>
                      <w:rFonts w:ascii="Arial" w:eastAsia="Times New Roman" w:hAnsi="Arial" w:cs="Arial"/>
                      <w:b/>
                      <w:bCs/>
                      <w:color w:val="000000"/>
                      <w:kern w:val="36"/>
                      <w:sz w:val="36"/>
                      <w:szCs w:val="36"/>
                      <w14:ligatures w14:val="none"/>
                    </w:rPr>
                    <w:t>RegenxBio</w:t>
                  </w:r>
                  <w:proofErr w:type="spellEnd"/>
                  <w:r w:rsidRPr="00A507FF">
                    <w:rPr>
                      <w:rFonts w:ascii="Arial" w:eastAsia="Times New Roman" w:hAnsi="Arial" w:cs="Arial"/>
                      <w:b/>
                      <w:bCs/>
                      <w:color w:val="000000"/>
                      <w:kern w:val="36"/>
                      <w:sz w:val="36"/>
                      <w:szCs w:val="36"/>
                      <w14:ligatures w14:val="none"/>
                    </w:rPr>
                    <w:t xml:space="preserve"> and the risk of an FDA flip-flop</w:t>
                  </w:r>
                </w:p>
                <w:p w14:paraId="2C4CC484"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proofErr w:type="spellStart"/>
                  <w:r w:rsidRPr="00A507FF">
                    <w:rPr>
                      <w:rFonts w:ascii="Georgia" w:eastAsia="Times New Roman" w:hAnsi="Georgia" w:cs="Times New Roman"/>
                      <w:color w:val="000000"/>
                      <w:kern w:val="0"/>
                      <w:sz w:val="27"/>
                      <w:szCs w:val="27"/>
                      <w14:ligatures w14:val="none"/>
                    </w:rPr>
                    <w:t>RegenxBio</w:t>
                  </w:r>
                  <w:proofErr w:type="spellEnd"/>
                  <w:r w:rsidRPr="00A507FF">
                    <w:rPr>
                      <w:rFonts w:ascii="Georgia" w:eastAsia="Times New Roman" w:hAnsi="Georgia" w:cs="Times New Roman"/>
                      <w:color w:val="000000"/>
                      <w:kern w:val="0"/>
                      <w:sz w:val="27"/>
                      <w:szCs w:val="27"/>
                      <w14:ligatures w14:val="none"/>
                    </w:rPr>
                    <w:t xml:space="preserve"> might be a good barometer of CBER (and Prasad) behavior in the first half of the year. </w:t>
                  </w:r>
                </w:p>
                <w:p w14:paraId="181BBB1F"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An approval decision on the company’s gene therapy for Hunter syndrome is due Feb. 8. </w:t>
                  </w:r>
                  <w:proofErr w:type="spellStart"/>
                  <w:r w:rsidRPr="00A507FF">
                    <w:rPr>
                      <w:rFonts w:ascii="Georgia" w:eastAsia="Times New Roman" w:hAnsi="Georgia" w:cs="Times New Roman"/>
                      <w:color w:val="000000"/>
                      <w:kern w:val="0"/>
                      <w:sz w:val="27"/>
                      <w:szCs w:val="27"/>
                      <w14:ligatures w14:val="none"/>
                    </w:rPr>
                    <w:t>RegenxBio</w:t>
                  </w:r>
                  <w:proofErr w:type="spellEnd"/>
                  <w:r w:rsidRPr="00A507FF">
                    <w:rPr>
                      <w:rFonts w:ascii="Georgia" w:eastAsia="Times New Roman" w:hAnsi="Georgia" w:cs="Times New Roman"/>
                      <w:color w:val="000000"/>
                      <w:kern w:val="0"/>
                      <w:sz w:val="27"/>
                      <w:szCs w:val="27"/>
                      <w14:ligatures w14:val="none"/>
                    </w:rPr>
                    <w:t xml:space="preserve"> submitted its application last March, meaning all the regulatory conversations about the suitability of the filing took place under the previous FDA regime. Marks resigned last March, soon after </w:t>
                  </w:r>
                  <w:proofErr w:type="spellStart"/>
                  <w:r w:rsidRPr="00A507FF">
                    <w:rPr>
                      <w:rFonts w:ascii="Georgia" w:eastAsia="Times New Roman" w:hAnsi="Georgia" w:cs="Times New Roman"/>
                      <w:color w:val="000000"/>
                      <w:kern w:val="0"/>
                      <w:sz w:val="27"/>
                      <w:szCs w:val="27"/>
                      <w14:ligatures w14:val="none"/>
                    </w:rPr>
                    <w:t>RegenxBio’s</w:t>
                  </w:r>
                  <w:proofErr w:type="spellEnd"/>
                  <w:r w:rsidRPr="00A507FF">
                    <w:rPr>
                      <w:rFonts w:ascii="Georgia" w:eastAsia="Times New Roman" w:hAnsi="Georgia" w:cs="Times New Roman"/>
                      <w:color w:val="000000"/>
                      <w:kern w:val="0"/>
                      <w:sz w:val="27"/>
                      <w:szCs w:val="27"/>
                      <w14:ligatures w14:val="none"/>
                    </w:rPr>
                    <w:t xml:space="preserve"> gene therapy was submitted. </w:t>
                  </w:r>
                </w:p>
                <w:p w14:paraId="7AE64C74"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In August, the FDA extended the Hunter gene therapy review by three months, from November to February. The extension followed an FDA request for longer-term clinical data on all participants in </w:t>
                  </w:r>
                  <w:proofErr w:type="spellStart"/>
                  <w:r w:rsidRPr="00A507FF">
                    <w:rPr>
                      <w:rFonts w:ascii="Georgia" w:eastAsia="Times New Roman" w:hAnsi="Georgia" w:cs="Times New Roman"/>
                      <w:color w:val="000000"/>
                      <w:kern w:val="0"/>
                      <w:sz w:val="27"/>
                      <w:szCs w:val="27"/>
                      <w14:ligatures w14:val="none"/>
                    </w:rPr>
                    <w:t>RegenxBio’s</w:t>
                  </w:r>
                  <w:proofErr w:type="spellEnd"/>
                  <w:r w:rsidRPr="00A507FF">
                    <w:rPr>
                      <w:rFonts w:ascii="Georgia" w:eastAsia="Times New Roman" w:hAnsi="Georgia" w:cs="Times New Roman"/>
                      <w:color w:val="000000"/>
                      <w:kern w:val="0"/>
                      <w:sz w:val="27"/>
                      <w:szCs w:val="27"/>
                      <w14:ligatures w14:val="none"/>
                    </w:rPr>
                    <w:t xml:space="preserve"> pivotal study. </w:t>
                  </w:r>
                </w:p>
                <w:p w14:paraId="7010072F" w14:textId="77777777" w:rsidR="00A507FF" w:rsidRPr="00A507FF" w:rsidRDefault="00A507FF" w:rsidP="00A507FF">
                  <w:pPr>
                    <w:spacing w:after="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Of greater interest to many people is RGX-202, </w:t>
                  </w:r>
                  <w:proofErr w:type="spellStart"/>
                  <w:r w:rsidRPr="00A507FF">
                    <w:rPr>
                      <w:rFonts w:ascii="Georgia" w:eastAsia="Times New Roman" w:hAnsi="Georgia" w:cs="Times New Roman"/>
                      <w:color w:val="000000"/>
                      <w:kern w:val="0"/>
                      <w:sz w:val="27"/>
                      <w:szCs w:val="27"/>
                      <w14:ligatures w14:val="none"/>
                    </w:rPr>
                    <w:t>RegenxBio’s</w:t>
                  </w:r>
                  <w:proofErr w:type="spellEnd"/>
                  <w:r w:rsidRPr="00A507FF">
                    <w:rPr>
                      <w:rFonts w:ascii="Georgia" w:eastAsia="Times New Roman" w:hAnsi="Georgia" w:cs="Times New Roman"/>
                      <w:color w:val="000000"/>
                      <w:kern w:val="0"/>
                      <w:sz w:val="27"/>
                      <w:szCs w:val="27"/>
                      <w14:ligatures w14:val="none"/>
                    </w:rPr>
                    <w:t xml:space="preserve"> gene therapy for Duchenne muscular dystrophy. The pivotal study readout is expected in the second quarter. Recall, the study enrolled approximately 30 "ambulatory" boys ages 1 and up. The primary endpoint is the proportion of participants who achieve expression levels of </w:t>
                  </w:r>
                  <w:proofErr w:type="spellStart"/>
                  <w:r w:rsidRPr="00A507FF">
                    <w:rPr>
                      <w:rFonts w:ascii="Georgia" w:eastAsia="Times New Roman" w:hAnsi="Georgia" w:cs="Times New Roman"/>
                      <w:color w:val="000000"/>
                      <w:kern w:val="0"/>
                      <w:sz w:val="27"/>
                      <w:szCs w:val="27"/>
                      <w14:ligatures w14:val="none"/>
                    </w:rPr>
                    <w:t>microdystrophin</w:t>
                  </w:r>
                  <w:proofErr w:type="spellEnd"/>
                  <w:r w:rsidRPr="00A507FF">
                    <w:rPr>
                      <w:rFonts w:ascii="Georgia" w:eastAsia="Times New Roman" w:hAnsi="Georgia" w:cs="Times New Roman"/>
                      <w:color w:val="000000"/>
                      <w:kern w:val="0"/>
                      <w:sz w:val="27"/>
                      <w:szCs w:val="27"/>
                      <w14:ligatures w14:val="none"/>
                    </w:rPr>
                    <w:t xml:space="preserve"> — </w:t>
                  </w:r>
                  <w:r w:rsidRPr="00A507FF">
                    <w:rPr>
                      <w:rFonts w:ascii="Georgia" w:eastAsia="Times New Roman" w:hAnsi="Georgia" w:cs="Times New Roman"/>
                      <w:color w:val="000000"/>
                      <w:kern w:val="0"/>
                      <w:sz w:val="27"/>
                      <w:szCs w:val="27"/>
                      <w:bdr w:val="none" w:sz="0" w:space="0" w:color="auto" w:frame="1"/>
                      <w14:ligatures w14:val="none"/>
                    </w:rPr>
                    <w:t xml:space="preserve">a miniature version of the protein broken in the fatal </w:t>
                  </w:r>
                  <w:proofErr w:type="gramStart"/>
                  <w:r w:rsidRPr="00A507FF">
                    <w:rPr>
                      <w:rFonts w:ascii="Georgia" w:eastAsia="Times New Roman" w:hAnsi="Georgia" w:cs="Times New Roman"/>
                      <w:color w:val="000000"/>
                      <w:kern w:val="0"/>
                      <w:sz w:val="27"/>
                      <w:szCs w:val="27"/>
                      <w:bdr w:val="none" w:sz="0" w:space="0" w:color="auto" w:frame="1"/>
                      <w14:ligatures w14:val="none"/>
                    </w:rPr>
                    <w:t>disease — </w:t>
                  </w:r>
                  <w:r w:rsidRPr="00A507FF">
                    <w:rPr>
                      <w:rFonts w:ascii="Georgia" w:eastAsia="Times New Roman" w:hAnsi="Georgia" w:cs="Times New Roman"/>
                      <w:color w:val="000000"/>
                      <w:kern w:val="0"/>
                      <w:sz w:val="27"/>
                      <w:szCs w:val="27"/>
                      <w14:ligatures w14:val="none"/>
                    </w:rPr>
                    <w:t>of</w:t>
                  </w:r>
                  <w:proofErr w:type="gramEnd"/>
                  <w:r w:rsidRPr="00A507FF">
                    <w:rPr>
                      <w:rFonts w:ascii="Georgia" w:eastAsia="Times New Roman" w:hAnsi="Georgia" w:cs="Times New Roman"/>
                      <w:color w:val="000000"/>
                      <w:kern w:val="0"/>
                      <w:sz w:val="27"/>
                      <w:szCs w:val="27"/>
                      <w14:ligatures w14:val="none"/>
                    </w:rPr>
                    <w:t xml:space="preserve"> 10</w:t>
                  </w:r>
                  <w:proofErr w:type="gramStart"/>
                  <w:r w:rsidRPr="00A507FF">
                    <w:rPr>
                      <w:rFonts w:ascii="Georgia" w:eastAsia="Times New Roman" w:hAnsi="Georgia" w:cs="Times New Roman"/>
                      <w:color w:val="000000"/>
                      <w:kern w:val="0"/>
                      <w:sz w:val="27"/>
                      <w:szCs w:val="27"/>
                      <w14:ligatures w14:val="none"/>
                    </w:rPr>
                    <w:t>% of</w:t>
                  </w:r>
                  <w:proofErr w:type="gramEnd"/>
                  <w:r w:rsidRPr="00A507FF">
                    <w:rPr>
                      <w:rFonts w:ascii="Georgia" w:eastAsia="Times New Roman" w:hAnsi="Georgia" w:cs="Times New Roman"/>
                      <w:color w:val="000000"/>
                      <w:kern w:val="0"/>
                      <w:sz w:val="27"/>
                      <w:szCs w:val="27"/>
                      <w14:ligatures w14:val="none"/>
                    </w:rPr>
                    <w:t xml:space="preserve"> greater, 12 weeks post infusion. </w:t>
                  </w:r>
                </w:p>
                <w:p w14:paraId="31F07875"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The likelihood is high that RGX-202 clears the study’s </w:t>
                  </w:r>
                  <w:proofErr w:type="spellStart"/>
                  <w:r w:rsidRPr="00A507FF">
                    <w:rPr>
                      <w:rFonts w:ascii="Georgia" w:eastAsia="Times New Roman" w:hAnsi="Georgia" w:cs="Times New Roman"/>
                      <w:color w:val="000000"/>
                      <w:kern w:val="0"/>
                      <w:sz w:val="27"/>
                      <w:szCs w:val="27"/>
                      <w14:ligatures w14:val="none"/>
                    </w:rPr>
                    <w:t>microdystrophin</w:t>
                  </w:r>
                  <w:proofErr w:type="spellEnd"/>
                  <w:r w:rsidRPr="00A507FF">
                    <w:rPr>
                      <w:rFonts w:ascii="Georgia" w:eastAsia="Times New Roman" w:hAnsi="Georgia" w:cs="Times New Roman"/>
                      <w:color w:val="000000"/>
                      <w:kern w:val="0"/>
                      <w:sz w:val="27"/>
                      <w:szCs w:val="27"/>
                      <w14:ligatures w14:val="none"/>
                    </w:rPr>
                    <w:t xml:space="preserve"> expression hurdle. The more interesting question: Will it matter to Prasad and the FDA? </w:t>
                  </w:r>
                </w:p>
                <w:p w14:paraId="7149E702"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During its J.P. Morgan presentation, </w:t>
                  </w:r>
                  <w:proofErr w:type="spellStart"/>
                  <w:r w:rsidRPr="00A507FF">
                    <w:rPr>
                      <w:rFonts w:ascii="Georgia" w:eastAsia="Times New Roman" w:hAnsi="Georgia" w:cs="Times New Roman"/>
                      <w:color w:val="000000"/>
                      <w:kern w:val="0"/>
                      <w:sz w:val="27"/>
                      <w:szCs w:val="27"/>
                      <w14:ligatures w14:val="none"/>
                    </w:rPr>
                    <w:t>RegenxBio</w:t>
                  </w:r>
                  <w:proofErr w:type="spellEnd"/>
                  <w:r w:rsidRPr="00A507FF">
                    <w:rPr>
                      <w:rFonts w:ascii="Georgia" w:eastAsia="Times New Roman" w:hAnsi="Georgia" w:cs="Times New Roman"/>
                      <w:color w:val="000000"/>
                      <w:kern w:val="0"/>
                      <w:sz w:val="27"/>
                      <w:szCs w:val="27"/>
                      <w14:ligatures w14:val="none"/>
                    </w:rPr>
                    <w:t xml:space="preserve"> said it plans to meet again with FDA officials after the RGX-202 study reads out to confirm that the previously agreed-upon accelerated approval pathway, based on 10% </w:t>
                  </w:r>
                  <w:proofErr w:type="spellStart"/>
                  <w:r w:rsidRPr="00A507FF">
                    <w:rPr>
                      <w:rFonts w:ascii="Georgia" w:eastAsia="Times New Roman" w:hAnsi="Georgia" w:cs="Times New Roman"/>
                      <w:color w:val="000000"/>
                      <w:kern w:val="0"/>
                      <w:sz w:val="27"/>
                      <w:szCs w:val="27"/>
                      <w14:ligatures w14:val="none"/>
                    </w:rPr>
                    <w:t>microdystrophin</w:t>
                  </w:r>
                  <w:proofErr w:type="spellEnd"/>
                  <w:r w:rsidRPr="00A507FF">
                    <w:rPr>
                      <w:rFonts w:ascii="Georgia" w:eastAsia="Times New Roman" w:hAnsi="Georgia" w:cs="Times New Roman"/>
                      <w:color w:val="000000"/>
                      <w:kern w:val="0"/>
                      <w:sz w:val="27"/>
                      <w:szCs w:val="27"/>
                      <w14:ligatures w14:val="none"/>
                    </w:rPr>
                    <w:t xml:space="preserve"> expression, is still open to the company, as it was for Sarepta Therapeutics and its </w:t>
                  </w:r>
                  <w:proofErr w:type="spellStart"/>
                  <w:r w:rsidRPr="00A507FF">
                    <w:rPr>
                      <w:rFonts w:ascii="Georgia" w:eastAsia="Times New Roman" w:hAnsi="Georgia" w:cs="Times New Roman"/>
                      <w:color w:val="000000"/>
                      <w:kern w:val="0"/>
                      <w:sz w:val="27"/>
                      <w:szCs w:val="27"/>
                      <w14:ligatures w14:val="none"/>
                    </w:rPr>
                    <w:t>Elevidys</w:t>
                  </w:r>
                  <w:proofErr w:type="spellEnd"/>
                  <w:r w:rsidRPr="00A507FF">
                    <w:rPr>
                      <w:rFonts w:ascii="Georgia" w:eastAsia="Times New Roman" w:hAnsi="Georgia" w:cs="Times New Roman"/>
                      <w:color w:val="000000"/>
                      <w:kern w:val="0"/>
                      <w:sz w:val="27"/>
                      <w:szCs w:val="27"/>
                      <w14:ligatures w14:val="none"/>
                    </w:rPr>
                    <w:t xml:space="preserve"> gene therapy. </w:t>
                  </w:r>
                </w:p>
                <w:p w14:paraId="3B303502"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lastRenderedPageBreak/>
                    <w:t xml:space="preserve">I asked </w:t>
                  </w:r>
                  <w:proofErr w:type="spellStart"/>
                  <w:r w:rsidRPr="00A507FF">
                    <w:rPr>
                      <w:rFonts w:ascii="Georgia" w:eastAsia="Times New Roman" w:hAnsi="Georgia" w:cs="Times New Roman"/>
                      <w:color w:val="000000"/>
                      <w:kern w:val="0"/>
                      <w:sz w:val="27"/>
                      <w:szCs w:val="27"/>
                      <w14:ligatures w14:val="none"/>
                    </w:rPr>
                    <w:t>RegenxBio</w:t>
                  </w:r>
                  <w:proofErr w:type="spellEnd"/>
                  <w:r w:rsidRPr="00A507FF">
                    <w:rPr>
                      <w:rFonts w:ascii="Georgia" w:eastAsia="Times New Roman" w:hAnsi="Georgia" w:cs="Times New Roman"/>
                      <w:color w:val="000000"/>
                      <w:kern w:val="0"/>
                      <w:sz w:val="27"/>
                      <w:szCs w:val="27"/>
                      <w14:ligatures w14:val="none"/>
                    </w:rPr>
                    <w:t xml:space="preserve"> CEO Curran Simpson if he was worried about Prasad reneging on the FDA’s prior commitment? Prasad seems to be doing this a lot, most recently with Atara Biotherapeutics. </w:t>
                  </w:r>
                </w:p>
                <w:p w14:paraId="436E5C2D"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“Sure, but I think fundamentally, with the type of data we're seeing, it strengthens our argument. If we had a marginal benefit over natural history, I would be not sleeping well, but we're not seeing that,” he told me. </w:t>
                  </w:r>
                </w:p>
                <w:p w14:paraId="7BD30B00"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The RGX-202 data package will also include functional muscle-performance data from a subset of participants followed for one year, plus reassuring safety data that won’t raise liver-toxicity risks, Curran added. </w:t>
                  </w:r>
                </w:p>
                <w:p w14:paraId="6A5A0B57"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If the FDA meeting goes well, </w:t>
                  </w:r>
                  <w:proofErr w:type="spellStart"/>
                  <w:r w:rsidRPr="00A507FF">
                    <w:rPr>
                      <w:rFonts w:ascii="Georgia" w:eastAsia="Times New Roman" w:hAnsi="Georgia" w:cs="Times New Roman"/>
                      <w:color w:val="000000"/>
                      <w:kern w:val="0"/>
                      <w:sz w:val="27"/>
                      <w:szCs w:val="27"/>
                      <w14:ligatures w14:val="none"/>
                    </w:rPr>
                    <w:t>RegenxBio</w:t>
                  </w:r>
                  <w:proofErr w:type="spellEnd"/>
                  <w:r w:rsidRPr="00A507FF">
                    <w:rPr>
                      <w:rFonts w:ascii="Georgia" w:eastAsia="Times New Roman" w:hAnsi="Georgia" w:cs="Times New Roman"/>
                      <w:color w:val="000000"/>
                      <w:kern w:val="0"/>
                      <w:sz w:val="27"/>
                      <w:szCs w:val="27"/>
                      <w14:ligatures w14:val="none"/>
                    </w:rPr>
                    <w:t xml:space="preserve"> will submit RGX-202 to the FDA in the middle of the year. </w:t>
                  </w:r>
                  <w:proofErr w:type="gramStart"/>
                  <w:r w:rsidRPr="00A507FF">
                    <w:rPr>
                      <w:rFonts w:ascii="Georgia" w:eastAsia="Times New Roman" w:hAnsi="Georgia" w:cs="Times New Roman"/>
                      <w:color w:val="000000"/>
                      <w:kern w:val="0"/>
                      <w:sz w:val="27"/>
                      <w:szCs w:val="27"/>
                      <w14:ligatures w14:val="none"/>
                    </w:rPr>
                    <w:t>Needless to say, the</w:t>
                  </w:r>
                  <w:proofErr w:type="gramEnd"/>
                  <w:r w:rsidRPr="00A507FF">
                    <w:rPr>
                      <w:rFonts w:ascii="Georgia" w:eastAsia="Times New Roman" w:hAnsi="Georgia" w:cs="Times New Roman"/>
                      <w:color w:val="000000"/>
                      <w:kern w:val="0"/>
                      <w:sz w:val="27"/>
                      <w:szCs w:val="27"/>
                      <w14:ligatures w14:val="none"/>
                    </w:rPr>
                    <w:t xml:space="preserve"> meeting might be as important, or more important, than the study readout itself.</w:t>
                  </w:r>
                </w:p>
              </w:tc>
            </w:tr>
          </w:tbl>
          <w:p w14:paraId="7C4532DB" w14:textId="77777777" w:rsidR="00A507FF" w:rsidRPr="00A507FF" w:rsidRDefault="00A507FF" w:rsidP="00A507FF">
            <w:pPr>
              <w:spacing w:after="0" w:line="240" w:lineRule="auto"/>
              <w:textAlignment w:val="top"/>
              <w:rPr>
                <w:rFonts w:ascii="inherit" w:eastAsia="Times New Roman" w:hAnsi="inherit" w:cs="Times New Roman"/>
                <w:kern w:val="0"/>
                <w:sz w:val="2"/>
                <w:szCs w:val="2"/>
                <w14:ligatures w14:val="none"/>
              </w:rPr>
            </w:pPr>
          </w:p>
        </w:tc>
      </w:tr>
    </w:tbl>
    <w:p w14:paraId="3F102E35" w14:textId="77777777" w:rsidR="00A507FF" w:rsidRPr="00A507FF" w:rsidRDefault="00A507FF" w:rsidP="00A507FF">
      <w:pPr>
        <w:spacing w:before="248" w:after="173" w:line="240" w:lineRule="auto"/>
        <w:rPr>
          <w:rFonts w:ascii="Segoe UI" w:eastAsia="Times New Roman" w:hAnsi="Segoe UI" w:cs="Segoe UI"/>
          <w:kern w:val="0"/>
          <w:sz w:val="23"/>
          <w:szCs w:val="23"/>
          <w14:ligatures w14:val="none"/>
        </w:rPr>
      </w:pPr>
      <w:r w:rsidRPr="00A507FF">
        <w:rPr>
          <w:rFonts w:ascii="Times New Roman" w:eastAsia="Times New Roman" w:hAnsi="Times New Roman" w:cs="Times New Roman"/>
          <w:kern w:val="0"/>
          <w14:ligatures w14:val="none"/>
        </w:rPr>
        <w:lastRenderedPageBreak/>
        <w:pict w14:anchorId="03A34D59">
          <v:rect id="_x0000_i1027" style="width:469.5pt;height:1.5pt" o:hrpct="0" o:hralign="center" o:hrstd="t" o:hrnoshade="t" o:hr="t" fillcolor="#d0d6db" stroked="f"/>
        </w:pict>
      </w:r>
    </w:p>
    <w:tbl>
      <w:tblPr>
        <w:tblW w:w="9750" w:type="dxa"/>
        <w:jc w:val="center"/>
        <w:tblCellMar>
          <w:left w:w="0" w:type="dxa"/>
          <w:right w:w="0" w:type="dxa"/>
        </w:tblCellMar>
        <w:tblLook w:val="04A0" w:firstRow="1" w:lastRow="0" w:firstColumn="1" w:lastColumn="0" w:noHBand="0" w:noVBand="1"/>
      </w:tblPr>
      <w:tblGrid>
        <w:gridCol w:w="10110"/>
      </w:tblGrid>
      <w:tr w:rsidR="00A507FF" w:rsidRPr="00A507FF" w14:paraId="0C6682FF" w14:textId="77777777">
        <w:trPr>
          <w:jc w:val="center"/>
        </w:trPr>
        <w:tc>
          <w:tcPr>
            <w:tcW w:w="0" w:type="auto"/>
            <w:tcMar>
              <w:top w:w="0" w:type="dxa"/>
              <w:left w:w="180" w:type="dxa"/>
              <w:bottom w:w="0" w:type="dxa"/>
              <w:right w:w="180" w:type="dxa"/>
            </w:tcMar>
            <w:vAlign w:val="center"/>
            <w:hideMark/>
          </w:tcPr>
          <w:tbl>
            <w:tblPr>
              <w:tblW w:w="9750" w:type="dxa"/>
              <w:jc w:val="center"/>
              <w:tblCellMar>
                <w:top w:w="15" w:type="dxa"/>
                <w:left w:w="15" w:type="dxa"/>
                <w:bottom w:w="15" w:type="dxa"/>
                <w:right w:w="15" w:type="dxa"/>
              </w:tblCellMar>
              <w:tblLook w:val="04A0" w:firstRow="1" w:lastRow="0" w:firstColumn="1" w:lastColumn="0" w:noHBand="0" w:noVBand="1"/>
            </w:tblPr>
            <w:tblGrid>
              <w:gridCol w:w="9750"/>
            </w:tblGrid>
            <w:tr w:rsidR="00A507FF" w:rsidRPr="00A507FF" w14:paraId="4DC97A24" w14:textId="77777777">
              <w:trPr>
                <w:jc w:val="center"/>
              </w:trPr>
              <w:tc>
                <w:tcPr>
                  <w:tcW w:w="0" w:type="auto"/>
                  <w:vAlign w:val="center"/>
                  <w:hideMark/>
                </w:tcPr>
                <w:p w14:paraId="6AC9763A" w14:textId="77777777" w:rsidR="00A507FF" w:rsidRPr="00A507FF" w:rsidRDefault="00A507FF" w:rsidP="00A507FF">
                  <w:pPr>
                    <w:spacing w:before="248" w:after="173" w:line="240" w:lineRule="auto"/>
                    <w:rPr>
                      <w:rFonts w:ascii="Segoe UI" w:eastAsia="Times New Roman" w:hAnsi="Segoe UI" w:cs="Segoe UI"/>
                      <w:kern w:val="0"/>
                      <w:sz w:val="23"/>
                      <w:szCs w:val="23"/>
                      <w14:ligatures w14:val="none"/>
                    </w:rPr>
                  </w:pPr>
                </w:p>
              </w:tc>
            </w:tr>
            <w:tr w:rsidR="00A507FF" w:rsidRPr="00A507FF" w14:paraId="0188F38B" w14:textId="77777777">
              <w:trPr>
                <w:jc w:val="center"/>
              </w:trPr>
              <w:tc>
                <w:tcPr>
                  <w:tcW w:w="0" w:type="auto"/>
                  <w:tcMar>
                    <w:top w:w="0" w:type="dxa"/>
                    <w:left w:w="0" w:type="dxa"/>
                    <w:bottom w:w="0" w:type="dxa"/>
                    <w:right w:w="0" w:type="dxa"/>
                  </w:tcMar>
                  <w:vAlign w:val="center"/>
                  <w:hideMark/>
                </w:tcPr>
                <w:p w14:paraId="455FA6A5" w14:textId="77777777" w:rsidR="00A507FF" w:rsidRPr="00A507FF" w:rsidRDefault="00A507FF" w:rsidP="00A507FF">
                  <w:pPr>
                    <w:spacing w:after="0" w:line="240" w:lineRule="auto"/>
                    <w:rPr>
                      <w:rFonts w:ascii="Times New Roman" w:eastAsia="Times New Roman" w:hAnsi="Times New Roman" w:cs="Times New Roman"/>
                      <w:kern w:val="0"/>
                      <w:sz w:val="20"/>
                      <w:szCs w:val="20"/>
                      <w14:ligatures w14:val="none"/>
                    </w:rPr>
                  </w:pPr>
                </w:p>
              </w:tc>
            </w:tr>
          </w:tbl>
          <w:p w14:paraId="7DF3C8AD" w14:textId="77777777" w:rsidR="00A507FF" w:rsidRPr="00A507FF" w:rsidRDefault="00A507FF" w:rsidP="00A507FF">
            <w:pPr>
              <w:spacing w:after="0" w:line="240" w:lineRule="auto"/>
              <w:jc w:val="center"/>
              <w:rPr>
                <w:rFonts w:ascii="Times New Roman" w:eastAsia="Times New Roman" w:hAnsi="Times New Roman" w:cs="Times New Roman"/>
                <w:kern w:val="0"/>
                <w:sz w:val="2"/>
                <w:szCs w:val="2"/>
                <w14:ligatures w14:val="none"/>
              </w:rPr>
            </w:pPr>
          </w:p>
        </w:tc>
      </w:tr>
    </w:tbl>
    <w:p w14:paraId="53BC301A" w14:textId="77777777" w:rsidR="00A507FF" w:rsidRPr="00A507FF" w:rsidRDefault="00A507FF" w:rsidP="00A507FF">
      <w:pPr>
        <w:spacing w:before="173" w:after="548" w:line="240" w:lineRule="auto"/>
        <w:rPr>
          <w:rFonts w:ascii="Segoe UI" w:eastAsia="Times New Roman" w:hAnsi="Segoe UI" w:cs="Segoe UI"/>
          <w:kern w:val="0"/>
          <w:sz w:val="23"/>
          <w:szCs w:val="23"/>
          <w14:ligatures w14:val="none"/>
        </w:rPr>
      </w:pPr>
      <w:r w:rsidRPr="00A507FF">
        <w:rPr>
          <w:rFonts w:ascii="Times New Roman" w:eastAsia="Times New Roman" w:hAnsi="Times New Roman" w:cs="Times New Roman"/>
          <w:kern w:val="0"/>
          <w14:ligatures w14:val="none"/>
        </w:rPr>
        <w:pict w14:anchorId="2ADAF672">
          <v:rect id="_x0000_i1028" style="width:469.5pt;height:1.5pt" o:hrpct="0" o:hralign="center" o:hrstd="t" o:hrnoshade="t" o:hr="t" fillcolor="#d0d6db" stroked="f"/>
        </w:pict>
      </w:r>
    </w:p>
    <w:tbl>
      <w:tblPr>
        <w:tblW w:w="9750" w:type="dxa"/>
        <w:jc w:val="center"/>
        <w:tblCellMar>
          <w:left w:w="0" w:type="dxa"/>
          <w:right w:w="0" w:type="dxa"/>
        </w:tblCellMar>
        <w:tblLook w:val="04A0" w:firstRow="1" w:lastRow="0" w:firstColumn="1" w:lastColumn="0" w:noHBand="0" w:noVBand="1"/>
      </w:tblPr>
      <w:tblGrid>
        <w:gridCol w:w="9750"/>
      </w:tblGrid>
      <w:tr w:rsidR="00A507FF" w:rsidRPr="00A507FF" w14:paraId="267A4BE9" w14:textId="77777777">
        <w:trPr>
          <w:jc w:val="center"/>
        </w:trPr>
        <w:tc>
          <w:tcPr>
            <w:tcW w:w="0" w:type="auto"/>
            <w:tcMar>
              <w:top w:w="0" w:type="dxa"/>
              <w:left w:w="180" w:type="dxa"/>
              <w:bottom w:w="0" w:type="dxa"/>
              <w:right w:w="180" w:type="dxa"/>
            </w:tcMar>
            <w:vAlign w:val="center"/>
            <w:hideMark/>
          </w:tcPr>
          <w:tbl>
            <w:tblPr>
              <w:tblW w:w="5000" w:type="pct"/>
              <w:tblCellMar>
                <w:left w:w="0" w:type="dxa"/>
                <w:right w:w="0" w:type="dxa"/>
              </w:tblCellMar>
              <w:tblLook w:val="04A0" w:firstRow="1" w:lastRow="0" w:firstColumn="1" w:lastColumn="0" w:noHBand="0" w:noVBand="1"/>
            </w:tblPr>
            <w:tblGrid>
              <w:gridCol w:w="9390"/>
            </w:tblGrid>
            <w:tr w:rsidR="00A507FF" w:rsidRPr="00A507FF" w14:paraId="00FA177B" w14:textId="77777777">
              <w:tc>
                <w:tcPr>
                  <w:tcW w:w="0" w:type="auto"/>
                  <w:vAlign w:val="center"/>
                  <w:hideMark/>
                </w:tcPr>
                <w:p w14:paraId="758E2983" w14:textId="77777777" w:rsidR="00A507FF" w:rsidRPr="00A507FF" w:rsidRDefault="00A507FF" w:rsidP="00A507FF">
                  <w:pPr>
                    <w:spacing w:after="150" w:line="240" w:lineRule="auto"/>
                    <w:textAlignment w:val="baseline"/>
                    <w:outlineLvl w:val="0"/>
                    <w:rPr>
                      <w:rFonts w:ascii="Arial" w:eastAsia="Times New Roman" w:hAnsi="Arial" w:cs="Arial"/>
                      <w:b/>
                      <w:bCs/>
                      <w:color w:val="000000"/>
                      <w:kern w:val="36"/>
                      <w:sz w:val="36"/>
                      <w:szCs w:val="36"/>
                      <w14:ligatures w14:val="none"/>
                    </w:rPr>
                  </w:pPr>
                  <w:r w:rsidRPr="00A507FF">
                    <w:rPr>
                      <w:rFonts w:ascii="Arial" w:eastAsia="Times New Roman" w:hAnsi="Arial" w:cs="Arial"/>
                      <w:b/>
                      <w:bCs/>
                      <w:color w:val="000000"/>
                      <w:kern w:val="36"/>
                      <w:sz w:val="36"/>
                      <w:szCs w:val="36"/>
                      <w14:ligatures w14:val="none"/>
                    </w:rPr>
                    <w:t>Cytokinetics: The ACACIA study readout is a big deal</w:t>
                  </w:r>
                </w:p>
                <w:p w14:paraId="69DB7F26" w14:textId="77777777" w:rsidR="00A507FF" w:rsidRPr="00A507FF" w:rsidRDefault="00A507FF" w:rsidP="00A507FF">
                  <w:pPr>
                    <w:spacing w:after="180" w:line="240" w:lineRule="auto"/>
                    <w:jc w:val="right"/>
                    <w:textAlignment w:val="baseline"/>
                    <w:outlineLvl w:val="4"/>
                    <w:rPr>
                      <w:rFonts w:ascii="Arial" w:eastAsia="Times New Roman" w:hAnsi="Arial" w:cs="Arial"/>
                      <w:i/>
                      <w:iCs/>
                      <w:color w:val="6A7580"/>
                      <w:kern w:val="0"/>
                      <w:sz w:val="18"/>
                      <w:szCs w:val="18"/>
                      <w14:ligatures w14:val="none"/>
                    </w:rPr>
                  </w:pPr>
                  <w:r w:rsidRPr="00A507FF">
                    <w:rPr>
                      <w:rFonts w:ascii="Arial" w:eastAsia="Times New Roman" w:hAnsi="Arial" w:cs="Arial"/>
                      <w:i/>
                      <w:iCs/>
                      <w:noProof/>
                      <w:color w:val="6A7580"/>
                      <w:kern w:val="0"/>
                      <w:sz w:val="18"/>
                      <w:szCs w:val="18"/>
                      <w14:ligatures w14:val="none"/>
                    </w:rPr>
                    <w:drawing>
                      <wp:inline distT="0" distB="0" distL="0" distR="0" wp14:anchorId="3E415A70" wp14:editId="64C9D43A">
                        <wp:extent cx="3949700" cy="2220918"/>
                        <wp:effectExtent l="0" t="0" r="0" b="8255"/>
                        <wp:docPr id="13" name="Picture 3" descr="AdobeStock_41891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dobeStock_41891172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57505" cy="2225307"/>
                                </a:xfrm>
                                <a:prstGeom prst="rect">
                                  <a:avLst/>
                                </a:prstGeom>
                                <a:noFill/>
                                <a:ln>
                                  <a:noFill/>
                                </a:ln>
                              </pic:spPr>
                            </pic:pic>
                          </a:graphicData>
                        </a:graphic>
                      </wp:inline>
                    </w:drawing>
                  </w:r>
                  <w:r w:rsidRPr="00A507FF">
                    <w:rPr>
                      <w:rFonts w:ascii="Arial" w:eastAsia="Times New Roman" w:hAnsi="Arial" w:cs="Arial"/>
                      <w:i/>
                      <w:iCs/>
                      <w:color w:val="6A7580"/>
                      <w:kern w:val="0"/>
                      <w:sz w:val="18"/>
                      <w:szCs w:val="18"/>
                      <w14:ligatures w14:val="none"/>
                    </w:rPr>
                    <w:t>Adobe</w:t>
                  </w:r>
                </w:p>
                <w:p w14:paraId="24A9B8B0"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Investors attending the Cytokinetics J.P. Morgan session gave CEO Robert Blum a round of applause as he noted from a podium that, after </w:t>
                  </w:r>
                  <w:proofErr w:type="gramStart"/>
                  <w:r w:rsidRPr="00A507FF">
                    <w:rPr>
                      <w:rFonts w:ascii="Georgia" w:eastAsia="Times New Roman" w:hAnsi="Georgia" w:cs="Times New Roman"/>
                      <w:color w:val="000000"/>
                      <w:kern w:val="0"/>
                      <w:sz w:val="27"/>
                      <w:szCs w:val="27"/>
                      <w14:ligatures w14:val="none"/>
                    </w:rPr>
                    <w:t>presenting</w:t>
                  </w:r>
                  <w:proofErr w:type="gramEnd"/>
                  <w:r w:rsidRPr="00A507FF">
                    <w:rPr>
                      <w:rFonts w:ascii="Georgia" w:eastAsia="Times New Roman" w:hAnsi="Georgia" w:cs="Times New Roman"/>
                      <w:color w:val="000000"/>
                      <w:kern w:val="0"/>
                      <w:sz w:val="27"/>
                      <w:szCs w:val="27"/>
                      <w14:ligatures w14:val="none"/>
                    </w:rPr>
                    <w:t xml:space="preserve"> at the conference for 20 years, he was finally there as the head of a company with an approved medicine. It was a nice moment. </w:t>
                  </w:r>
                </w:p>
                <w:p w14:paraId="1E1EF049"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lastRenderedPageBreak/>
                    <w:t xml:space="preserve">In December, Cytokinetics secured U.S. approval of </w:t>
                  </w:r>
                  <w:proofErr w:type="spellStart"/>
                  <w:r w:rsidRPr="00A507FF">
                    <w:rPr>
                      <w:rFonts w:ascii="Georgia" w:eastAsia="Times New Roman" w:hAnsi="Georgia" w:cs="Times New Roman"/>
                      <w:color w:val="000000"/>
                      <w:kern w:val="0"/>
                      <w:sz w:val="27"/>
                      <w:szCs w:val="27"/>
                      <w14:ligatures w14:val="none"/>
                    </w:rPr>
                    <w:t>Myqorzo</w:t>
                  </w:r>
                  <w:proofErr w:type="spellEnd"/>
                  <w:r w:rsidRPr="00A507FF">
                    <w:rPr>
                      <w:rFonts w:ascii="Georgia" w:eastAsia="Times New Roman" w:hAnsi="Georgia" w:cs="Times New Roman"/>
                      <w:color w:val="000000"/>
                      <w:kern w:val="0"/>
                      <w:sz w:val="27"/>
                      <w:szCs w:val="27"/>
                      <w14:ligatures w14:val="none"/>
                    </w:rPr>
                    <w:t xml:space="preserve"> for the treatment of obstructive hypertrophic cardiomyopathy, an inherited heart disorder. Now, attention turns to the commercial launch. The current consensus sales forecast for 2026 is $101 million, according to Visible Alpha. </w:t>
                  </w:r>
                </w:p>
                <w:p w14:paraId="23F4EAC7"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Blum and his management team spent last week trying to set realistic investor expectations for the </w:t>
                  </w:r>
                  <w:proofErr w:type="spellStart"/>
                  <w:r w:rsidRPr="00A507FF">
                    <w:rPr>
                      <w:rFonts w:ascii="Georgia" w:eastAsia="Times New Roman" w:hAnsi="Georgia" w:cs="Times New Roman"/>
                      <w:color w:val="000000"/>
                      <w:kern w:val="0"/>
                      <w:sz w:val="27"/>
                      <w:szCs w:val="27"/>
                      <w14:ligatures w14:val="none"/>
                    </w:rPr>
                    <w:t>Myqorzo</w:t>
                  </w:r>
                  <w:proofErr w:type="spellEnd"/>
                  <w:r w:rsidRPr="00A507FF">
                    <w:rPr>
                      <w:rFonts w:ascii="Georgia" w:eastAsia="Times New Roman" w:hAnsi="Georgia" w:cs="Times New Roman"/>
                      <w:color w:val="000000"/>
                      <w:kern w:val="0"/>
                      <w:sz w:val="27"/>
                      <w:szCs w:val="27"/>
                      <w14:ligatures w14:val="none"/>
                    </w:rPr>
                    <w:t xml:space="preserve"> launch. The drug’s wholesale price is $108,400 per year, just a touch more expensive than Camzyos, the competing drug from Bristol Myers Squibb. </w:t>
                  </w:r>
                </w:p>
                <w:p w14:paraId="05DF87FF"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Cytokinetics noted that Camzyos generated approximately $53 million in sales in its first four quarters. The company expects </w:t>
                  </w:r>
                  <w:proofErr w:type="spellStart"/>
                  <w:r w:rsidRPr="00A507FF">
                    <w:rPr>
                      <w:rFonts w:ascii="Georgia" w:eastAsia="Times New Roman" w:hAnsi="Georgia" w:cs="Times New Roman"/>
                      <w:color w:val="000000"/>
                      <w:kern w:val="0"/>
                      <w:sz w:val="27"/>
                      <w:szCs w:val="27"/>
                      <w14:ligatures w14:val="none"/>
                    </w:rPr>
                    <w:t>Myqorzo</w:t>
                  </w:r>
                  <w:proofErr w:type="spellEnd"/>
                  <w:r w:rsidRPr="00A507FF">
                    <w:rPr>
                      <w:rFonts w:ascii="Georgia" w:eastAsia="Times New Roman" w:hAnsi="Georgia" w:cs="Times New Roman"/>
                      <w:color w:val="000000"/>
                      <w:kern w:val="0"/>
                      <w:sz w:val="27"/>
                      <w:szCs w:val="27"/>
                      <w14:ligatures w14:val="none"/>
                    </w:rPr>
                    <w:t>, boosted by dosing and other advantages in its prescribing label, to beat that benchmark. However, Blum and his management team also cautioned analysts not to set outsized sales targets, given the time it will take to establish reimbursement and patient access. </w:t>
                  </w:r>
                </w:p>
                <w:p w14:paraId="6B7101D9"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The most important catalyst for Cytokinetics is not the commercial launch, but the readout from the </w:t>
                  </w:r>
                  <w:proofErr w:type="spellStart"/>
                  <w:r w:rsidRPr="00A507FF">
                    <w:rPr>
                      <w:rFonts w:ascii="Georgia" w:eastAsia="Times New Roman" w:hAnsi="Georgia" w:cs="Times New Roman"/>
                      <w:color w:val="000000"/>
                      <w:kern w:val="0"/>
                      <w:sz w:val="27"/>
                      <w:szCs w:val="27"/>
                      <w14:ligatures w14:val="none"/>
                    </w:rPr>
                    <w:t>Myqorzo</w:t>
                  </w:r>
                  <w:proofErr w:type="spellEnd"/>
                  <w:r w:rsidRPr="00A507FF">
                    <w:rPr>
                      <w:rFonts w:ascii="Georgia" w:eastAsia="Times New Roman" w:hAnsi="Georgia" w:cs="Times New Roman"/>
                      <w:color w:val="000000"/>
                      <w:kern w:val="0"/>
                      <w:sz w:val="27"/>
                      <w:szCs w:val="27"/>
                      <w14:ligatures w14:val="none"/>
                    </w:rPr>
                    <w:t xml:space="preserve"> ACACIA Phase 3 study in non-obstructive hypertrophic cardiomyopathy. Data are expected in the second quarter.</w:t>
                  </w:r>
                </w:p>
                <w:p w14:paraId="6960D538"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If this study succeeds, Myqorzo’s addressable market size would double, and without competition, because a Camzyos Phase 3 study in non-obstructive hypertrophic cardiomyopathy failed last April. </w:t>
                  </w:r>
                </w:p>
                <w:p w14:paraId="42E0BB0E" w14:textId="77777777" w:rsidR="00A507FF" w:rsidRPr="00A507FF" w:rsidRDefault="00A507FF" w:rsidP="00A507FF">
                  <w:pPr>
                    <w:spacing w:before="420" w:after="495"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pict w14:anchorId="2D2D4636">
                      <v:rect id="_x0000_i1029" style="width:0;height:1.5pt" o:hralign="center" o:hrstd="t" o:hrnoshade="t" o:hr="t" fillcolor="#d0d6db" stroked="f"/>
                    </w:pict>
                  </w:r>
                </w:p>
                <w:p w14:paraId="4274EFA3" w14:textId="77777777" w:rsidR="00A507FF" w:rsidRPr="00A507FF" w:rsidRDefault="00A507FF" w:rsidP="00A507FF">
                  <w:pPr>
                    <w:spacing w:after="150" w:line="240" w:lineRule="auto"/>
                    <w:textAlignment w:val="baseline"/>
                    <w:outlineLvl w:val="0"/>
                    <w:rPr>
                      <w:rFonts w:ascii="Arial" w:eastAsia="Times New Roman" w:hAnsi="Arial" w:cs="Arial"/>
                      <w:b/>
                      <w:bCs/>
                      <w:color w:val="000000"/>
                      <w:kern w:val="36"/>
                      <w:sz w:val="36"/>
                      <w:szCs w:val="36"/>
                      <w14:ligatures w14:val="none"/>
                    </w:rPr>
                  </w:pPr>
                  <w:proofErr w:type="spellStart"/>
                  <w:r w:rsidRPr="00A507FF">
                    <w:rPr>
                      <w:rFonts w:ascii="Arial" w:eastAsia="Times New Roman" w:hAnsi="Arial" w:cs="Arial"/>
                      <w:b/>
                      <w:bCs/>
                      <w:color w:val="000000"/>
                      <w:kern w:val="36"/>
                      <w:sz w:val="36"/>
                      <w:szCs w:val="36"/>
                      <w14:ligatures w14:val="none"/>
                    </w:rPr>
                    <w:t>Novo's</w:t>
                  </w:r>
                  <w:proofErr w:type="spellEnd"/>
                  <w:r w:rsidRPr="00A507FF">
                    <w:rPr>
                      <w:rFonts w:ascii="Arial" w:eastAsia="Times New Roman" w:hAnsi="Arial" w:cs="Arial"/>
                      <w:b/>
                      <w:bCs/>
                      <w:color w:val="000000"/>
                      <w:kern w:val="36"/>
                      <w:sz w:val="36"/>
                      <w:szCs w:val="36"/>
                      <w14:ligatures w14:val="none"/>
                    </w:rPr>
                    <w:t xml:space="preserve"> next obesity acquisition </w:t>
                  </w:r>
                </w:p>
                <w:p w14:paraId="1B1A1B1B"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My latest, likely worthless, M&amp;A prediction: Novo Nordisk is going to buy Structure Therapeutics. </w:t>
                  </w:r>
                </w:p>
                <w:p w14:paraId="538E9AF2" w14:textId="77777777" w:rsidR="00A507FF" w:rsidRPr="00A507FF" w:rsidRDefault="00A507FF" w:rsidP="00A507FF">
                  <w:pPr>
                    <w:spacing w:after="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That’s what I gleaned most from our conversation with Novo CEO Mike Doustdar during last week’s </w:t>
                  </w:r>
                  <w:hyperlink r:id="rId5" w:tgtFrame="_blank" w:tooltip="https://marketing.statnews.com/e3t/Ctc/LV+113/cp47z04/MW1Gh2f7FXTN21N9N8BYdTLW3LfLlX5JCbrqMXl4n65nR3bW50kH_H6lZ3lQW7cKMwP772wJnW8xD3T15Mzc1QV7JJ8Y19S27qN1WnlwT-4CQsW5XWx-G6VdF0dW75zq6b3K7_BYW8c3jKY5l97v9W4sLJ_z5WRXL_W8zMWqH69KTDfW2d_G0T3ZvSgTW7K7qyB1hC7ybW41bftV1Z_yb3W5q_S_g8K92YQW4F0YkG3qqjL1W4gq2vG85TN_zN43wtsrgfC0_W4Z9jGh46gBd7N2wYWNqvw2sbN5LnlWdNr9WSW1dhTpT34LnhgN3vzjd8fsNrrN3VHx7WsJVc_W8l5Qgh12NG08W1kL-jz40Xcf-W8FrqNC34Zdm3W841Wq47LxsW6VKX_VV8PQlv9W25z2ZV8bNdz7W3mg6P449m-cwW48QQtj34qPH6W3Lgr_m47VgKLW8CJ9Hp5vljSbf2rWwqC04" w:history="1">
                    <w:r w:rsidRPr="00A507FF">
                      <w:rPr>
                        <w:rFonts w:ascii="Georgia" w:eastAsia="Times New Roman" w:hAnsi="Georgia" w:cs="Times New Roman"/>
                        <w:color w:val="008299"/>
                        <w:kern w:val="0"/>
                        <w:sz w:val="27"/>
                        <w:szCs w:val="27"/>
                        <w:u w:val="single"/>
                        <w:bdr w:val="none" w:sz="0" w:space="0" w:color="auto" w:frame="1"/>
                        <w14:ligatures w14:val="none"/>
                      </w:rPr>
                      <w:t>live JPM Week taping of the Readout LOUD podcast</w:t>
                    </w:r>
                  </w:hyperlink>
                  <w:r w:rsidRPr="00A507FF">
                    <w:rPr>
                      <w:rFonts w:ascii="Georgia" w:eastAsia="Times New Roman" w:hAnsi="Georgia" w:cs="Times New Roman"/>
                      <w:color w:val="000000"/>
                      <w:kern w:val="0"/>
                      <w:sz w:val="27"/>
                      <w:szCs w:val="27"/>
                      <w14:ligatures w14:val="none"/>
                    </w:rPr>
                    <w:t>.</w:t>
                  </w:r>
                </w:p>
                <w:p w14:paraId="20DB2256"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lastRenderedPageBreak/>
                    <w:t xml:space="preserve">Novo lost out to Pfizer in the bidding war for the obesity drug developer </w:t>
                  </w:r>
                  <w:proofErr w:type="spellStart"/>
                  <w:r w:rsidRPr="00A507FF">
                    <w:rPr>
                      <w:rFonts w:ascii="Georgia" w:eastAsia="Times New Roman" w:hAnsi="Georgia" w:cs="Times New Roman"/>
                      <w:color w:val="000000"/>
                      <w:kern w:val="0"/>
                      <w:sz w:val="27"/>
                      <w:szCs w:val="27"/>
                      <w14:ligatures w14:val="none"/>
                    </w:rPr>
                    <w:t>Metsera</w:t>
                  </w:r>
                  <w:proofErr w:type="spellEnd"/>
                  <w:r w:rsidRPr="00A507FF">
                    <w:rPr>
                      <w:rFonts w:ascii="Georgia" w:eastAsia="Times New Roman" w:hAnsi="Georgia" w:cs="Times New Roman"/>
                      <w:color w:val="000000"/>
                      <w:kern w:val="0"/>
                      <w:sz w:val="27"/>
                      <w:szCs w:val="27"/>
                      <w14:ligatures w14:val="none"/>
                    </w:rPr>
                    <w:t>, which makes Structure seem like an obvious second opportunity. </w:t>
                  </w:r>
                </w:p>
                <w:p w14:paraId="11C110B7"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“Is there a company out there that is like </w:t>
                  </w:r>
                  <w:proofErr w:type="spellStart"/>
                  <w:r w:rsidRPr="00A507FF">
                    <w:rPr>
                      <w:rFonts w:ascii="Georgia" w:eastAsia="Times New Roman" w:hAnsi="Georgia" w:cs="Times New Roman"/>
                      <w:color w:val="000000"/>
                      <w:kern w:val="0"/>
                      <w:sz w:val="27"/>
                      <w:szCs w:val="27"/>
                      <w14:ligatures w14:val="none"/>
                    </w:rPr>
                    <w:t>Metsera</w:t>
                  </w:r>
                  <w:proofErr w:type="spellEnd"/>
                  <w:r w:rsidRPr="00A507FF">
                    <w:rPr>
                      <w:rFonts w:ascii="Georgia" w:eastAsia="Times New Roman" w:hAnsi="Georgia" w:cs="Times New Roman"/>
                      <w:color w:val="000000"/>
                      <w:kern w:val="0"/>
                      <w:sz w:val="27"/>
                      <w:szCs w:val="27"/>
                      <w14:ligatures w14:val="none"/>
                    </w:rPr>
                    <w:t xml:space="preserve"> that you would be interested in buying? Is that a priority for Novo?” I asked Doustdar. </w:t>
                  </w:r>
                </w:p>
                <w:p w14:paraId="36AAFD4B"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“Yes,” he replied, and then he mentioned </w:t>
                  </w:r>
                  <w:proofErr w:type="spellStart"/>
                  <w:r w:rsidRPr="00A507FF">
                    <w:rPr>
                      <w:rFonts w:ascii="Georgia" w:eastAsia="Times New Roman" w:hAnsi="Georgia" w:cs="Times New Roman"/>
                      <w:color w:val="000000"/>
                      <w:kern w:val="0"/>
                      <w:sz w:val="27"/>
                      <w:szCs w:val="27"/>
                      <w14:ligatures w14:val="none"/>
                    </w:rPr>
                    <w:t>Novo’s</w:t>
                  </w:r>
                  <w:proofErr w:type="spellEnd"/>
                  <w:r w:rsidRPr="00A507FF">
                    <w:rPr>
                      <w:rFonts w:ascii="Georgia" w:eastAsia="Times New Roman" w:hAnsi="Georgia" w:cs="Times New Roman"/>
                      <w:color w:val="000000"/>
                      <w:kern w:val="0"/>
                      <w:sz w:val="27"/>
                      <w:szCs w:val="27"/>
                      <w14:ligatures w14:val="none"/>
                    </w:rPr>
                    <w:t xml:space="preserve"> $5 billion acquisition of </w:t>
                  </w:r>
                  <w:proofErr w:type="spellStart"/>
                  <w:r w:rsidRPr="00A507FF">
                    <w:rPr>
                      <w:rFonts w:ascii="Georgia" w:eastAsia="Times New Roman" w:hAnsi="Georgia" w:cs="Times New Roman"/>
                      <w:color w:val="000000"/>
                      <w:kern w:val="0"/>
                      <w:sz w:val="27"/>
                      <w:szCs w:val="27"/>
                      <w14:ligatures w14:val="none"/>
                    </w:rPr>
                    <w:t>Akero</w:t>
                  </w:r>
                  <w:proofErr w:type="spellEnd"/>
                  <w:r w:rsidRPr="00A507FF">
                    <w:rPr>
                      <w:rFonts w:ascii="Georgia" w:eastAsia="Times New Roman" w:hAnsi="Georgia" w:cs="Times New Roman"/>
                      <w:color w:val="000000"/>
                      <w:kern w:val="0"/>
                      <w:sz w:val="27"/>
                      <w:szCs w:val="27"/>
                      <w14:ligatures w14:val="none"/>
                    </w:rPr>
                    <w:t xml:space="preserve"> Therapeutics, developer of a drug for MASH, which the company executed at the same time it was bidding for </w:t>
                  </w:r>
                  <w:proofErr w:type="spellStart"/>
                  <w:r w:rsidRPr="00A507FF">
                    <w:rPr>
                      <w:rFonts w:ascii="Georgia" w:eastAsia="Times New Roman" w:hAnsi="Georgia" w:cs="Times New Roman"/>
                      <w:color w:val="000000"/>
                      <w:kern w:val="0"/>
                      <w:sz w:val="27"/>
                      <w:szCs w:val="27"/>
                      <w14:ligatures w14:val="none"/>
                    </w:rPr>
                    <w:t>Metsera</w:t>
                  </w:r>
                  <w:proofErr w:type="spellEnd"/>
                  <w:r w:rsidRPr="00A507FF">
                    <w:rPr>
                      <w:rFonts w:ascii="Georgia" w:eastAsia="Times New Roman" w:hAnsi="Georgia" w:cs="Times New Roman"/>
                      <w:color w:val="000000"/>
                      <w:kern w:val="0"/>
                      <w:sz w:val="27"/>
                      <w:szCs w:val="27"/>
                      <w14:ligatures w14:val="none"/>
                    </w:rPr>
                    <w:t>. </w:t>
                  </w:r>
                </w:p>
                <w:p w14:paraId="58C404A8"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But then </w:t>
                  </w:r>
                  <w:proofErr w:type="spellStart"/>
                  <w:r w:rsidRPr="00A507FF">
                    <w:rPr>
                      <w:rFonts w:ascii="Georgia" w:eastAsia="Times New Roman" w:hAnsi="Georgia" w:cs="Times New Roman"/>
                      <w:color w:val="000000"/>
                      <w:kern w:val="0"/>
                      <w:sz w:val="27"/>
                      <w:szCs w:val="27"/>
                      <w14:ligatures w14:val="none"/>
                    </w:rPr>
                    <w:t>Doustdar</w:t>
                  </w:r>
                  <w:proofErr w:type="spellEnd"/>
                  <w:r w:rsidRPr="00A507FF">
                    <w:rPr>
                      <w:rFonts w:ascii="Georgia" w:eastAsia="Times New Roman" w:hAnsi="Georgia" w:cs="Times New Roman"/>
                      <w:color w:val="000000"/>
                      <w:kern w:val="0"/>
                      <w:sz w:val="27"/>
                      <w:szCs w:val="27"/>
                      <w14:ligatures w14:val="none"/>
                    </w:rPr>
                    <w:t xml:space="preserve"> added, “Are there more out there? Absolutely. We are here [in San Francisco] with my whole team to explore some of that.”</w:t>
                  </w:r>
                </w:p>
                <w:p w14:paraId="72F375C6" w14:textId="77777777" w:rsidR="00A507FF" w:rsidRPr="00A507FF" w:rsidRDefault="00A507FF" w:rsidP="00A507FF">
                  <w:pPr>
                    <w:spacing w:before="150" w:after="300" w:line="419" w:lineRule="atLeast"/>
                    <w:textAlignment w:val="baseline"/>
                    <w:rPr>
                      <w:rFonts w:ascii="Georgia" w:eastAsia="Times New Roman" w:hAnsi="Georgia" w:cs="Times New Roman"/>
                      <w:color w:val="000000"/>
                      <w:kern w:val="0"/>
                      <w:sz w:val="27"/>
                      <w:szCs w:val="27"/>
                      <w14:ligatures w14:val="none"/>
                    </w:rPr>
                  </w:pPr>
                  <w:r w:rsidRPr="00A507FF">
                    <w:rPr>
                      <w:rFonts w:ascii="Georgia" w:eastAsia="Times New Roman" w:hAnsi="Georgia" w:cs="Times New Roman"/>
                      <w:color w:val="000000"/>
                      <w:kern w:val="0"/>
                      <w:sz w:val="27"/>
                      <w:szCs w:val="27"/>
                      <w14:ligatures w14:val="none"/>
                    </w:rPr>
                    <w:t xml:space="preserve">Structure shares are up 34% since </w:t>
                  </w:r>
                  <w:proofErr w:type="spellStart"/>
                  <w:r w:rsidRPr="00A507FF">
                    <w:rPr>
                      <w:rFonts w:ascii="Georgia" w:eastAsia="Times New Roman" w:hAnsi="Georgia" w:cs="Times New Roman"/>
                      <w:color w:val="000000"/>
                      <w:kern w:val="0"/>
                      <w:sz w:val="27"/>
                      <w:szCs w:val="27"/>
                      <w14:ligatures w14:val="none"/>
                    </w:rPr>
                    <w:t>Doustdar</w:t>
                  </w:r>
                  <w:proofErr w:type="spellEnd"/>
                  <w:r w:rsidRPr="00A507FF">
                    <w:rPr>
                      <w:rFonts w:ascii="Georgia" w:eastAsia="Times New Roman" w:hAnsi="Georgia" w:cs="Times New Roman"/>
                      <w:color w:val="000000"/>
                      <w:kern w:val="0"/>
                      <w:sz w:val="27"/>
                      <w:szCs w:val="27"/>
                      <w14:ligatures w14:val="none"/>
                    </w:rPr>
                    <w:t xml:space="preserve"> talked up Novo M&amp;A during JPM Week, not only with us, but in other media interviews and with analysts and investors. </w:t>
                  </w:r>
                </w:p>
              </w:tc>
            </w:tr>
          </w:tbl>
          <w:p w14:paraId="1563888D" w14:textId="77777777" w:rsidR="00A507FF" w:rsidRPr="00A507FF" w:rsidRDefault="00A507FF" w:rsidP="00A507FF">
            <w:pPr>
              <w:spacing w:after="0" w:line="240" w:lineRule="auto"/>
              <w:textAlignment w:val="top"/>
              <w:rPr>
                <w:rFonts w:ascii="inherit" w:eastAsia="Times New Roman" w:hAnsi="inherit" w:cs="Times New Roman"/>
                <w:kern w:val="0"/>
                <w:sz w:val="2"/>
                <w:szCs w:val="2"/>
                <w14:ligatures w14:val="none"/>
              </w:rPr>
            </w:pPr>
          </w:p>
        </w:tc>
      </w:tr>
    </w:tbl>
    <w:p w14:paraId="5AF1268D" w14:textId="77777777" w:rsidR="00DE5BC5" w:rsidRDefault="00DE5BC5"/>
    <w:sectPr w:rsidR="00DE5BC5" w:rsidSect="00A507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7FF"/>
    <w:rsid w:val="005E3D76"/>
    <w:rsid w:val="00640472"/>
    <w:rsid w:val="00A507FF"/>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48672"/>
  <w15:chartTrackingRefBased/>
  <w15:docId w15:val="{8DB58A60-B702-404F-83E7-08624611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7FF"/>
    <w:rPr>
      <w:rFonts w:eastAsiaTheme="majorEastAsia" w:cstheme="majorBidi"/>
      <w:color w:val="272727" w:themeColor="text1" w:themeTint="D8"/>
    </w:rPr>
  </w:style>
  <w:style w:type="paragraph" w:styleId="Title">
    <w:name w:val="Title"/>
    <w:basedOn w:val="Normal"/>
    <w:next w:val="Normal"/>
    <w:link w:val="TitleChar"/>
    <w:uiPriority w:val="10"/>
    <w:qFormat/>
    <w:rsid w:val="00A50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7FF"/>
    <w:pPr>
      <w:spacing w:before="160"/>
      <w:jc w:val="center"/>
    </w:pPr>
    <w:rPr>
      <w:i/>
      <w:iCs/>
      <w:color w:val="404040" w:themeColor="text1" w:themeTint="BF"/>
    </w:rPr>
  </w:style>
  <w:style w:type="character" w:customStyle="1" w:styleId="QuoteChar">
    <w:name w:val="Quote Char"/>
    <w:basedOn w:val="DefaultParagraphFont"/>
    <w:link w:val="Quote"/>
    <w:uiPriority w:val="29"/>
    <w:rsid w:val="00A507FF"/>
    <w:rPr>
      <w:i/>
      <w:iCs/>
      <w:color w:val="404040" w:themeColor="text1" w:themeTint="BF"/>
    </w:rPr>
  </w:style>
  <w:style w:type="paragraph" w:styleId="ListParagraph">
    <w:name w:val="List Paragraph"/>
    <w:basedOn w:val="Normal"/>
    <w:uiPriority w:val="34"/>
    <w:qFormat/>
    <w:rsid w:val="00A507FF"/>
    <w:pPr>
      <w:ind w:left="720"/>
      <w:contextualSpacing/>
    </w:pPr>
  </w:style>
  <w:style w:type="character" w:styleId="IntenseEmphasis">
    <w:name w:val="Intense Emphasis"/>
    <w:basedOn w:val="DefaultParagraphFont"/>
    <w:uiPriority w:val="21"/>
    <w:qFormat/>
    <w:rsid w:val="00A507FF"/>
    <w:rPr>
      <w:i/>
      <w:iCs/>
      <w:color w:val="0F4761" w:themeColor="accent1" w:themeShade="BF"/>
    </w:rPr>
  </w:style>
  <w:style w:type="paragraph" w:styleId="IntenseQuote">
    <w:name w:val="Intense Quote"/>
    <w:basedOn w:val="Normal"/>
    <w:next w:val="Normal"/>
    <w:link w:val="IntenseQuoteChar"/>
    <w:uiPriority w:val="30"/>
    <w:qFormat/>
    <w:rsid w:val="00A50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7FF"/>
    <w:rPr>
      <w:i/>
      <w:iCs/>
      <w:color w:val="0F4761" w:themeColor="accent1" w:themeShade="BF"/>
    </w:rPr>
  </w:style>
  <w:style w:type="character" w:styleId="IntenseReference">
    <w:name w:val="Intense Reference"/>
    <w:basedOn w:val="DefaultParagraphFont"/>
    <w:uiPriority w:val="32"/>
    <w:qFormat/>
    <w:rsid w:val="00A50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arketing.statnews.com/e3t/Ctc/LV+113/cp47z04/MW1Gh2f7FXTN21N9N8BYdTLW3LfLlX5JCbrqMXl4n65nR3bW50kH_H6lZ3lQW7cKMwP772wJnW8xD3T15Mzc1QV7JJ8Y19S27qN1WnlwT-4CQsW5XWx-G6VdF0dW75zq6b3K7_BYW8c3jKY5l97v9W4sLJ_z5WRXL_W8zMWqH69KTDfW2d_G0T3ZvSgTW7K7qyB1hC7ybW41bftV1Z_yb3W5q_S_g8K92YQW4F0YkG3qqjL1W4gq2vG85TN_zN43wtsrgfC0_W4Z9jGh46gBd7N2wYWNqvw2sbN5LnlWdNr9WSW1dhTpT34LnhgN3vzjd8fsNrrN3VHx7WsJVc_W8l5Qgh12NG08W1kL-jz40Xcf-W8FrqNC34Zdm3W841Wq47LxsW6VKX_VV8PQlv9W25z2ZV8bNdz7W3mg6P449m-cwW48QQtj34qPH6W3Lgr_m47VgKLW8CJ9Hp5vljSbf2rWwqC04"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1304</Words>
  <Characters>6768</Characters>
  <Application>Microsoft Office Word</Application>
  <DocSecurity>0</DocSecurity>
  <Lines>141</Lines>
  <Paragraphs>49</Paragraphs>
  <ScaleCrop>false</ScaleCrop>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2026-01-22T13:18:00Z</dcterms:created>
  <dcterms:modified xsi:type="dcterms:W3CDTF">2026-01-22T13:20:00Z</dcterms:modified>
</cp:coreProperties>
</file>