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B47D" w14:textId="77777777" w:rsidR="00CE0CBB" w:rsidRPr="00CE0CBB" w:rsidRDefault="00CE0CBB" w:rsidP="00CE0CBB">
      <w:pPr>
        <w:shd w:val="clear" w:color="auto" w:fill="FFFFFF"/>
        <w:spacing w:before="240" w:after="120" w:line="240" w:lineRule="auto"/>
        <w:outlineLvl w:val="0"/>
        <w:rPr>
          <w:rFonts w:ascii="Arial" w:eastAsia="Times New Roman" w:hAnsi="Arial" w:cs="Arial"/>
          <w:color w:val="001214"/>
          <w:kern w:val="36"/>
          <w:sz w:val="60"/>
          <w:szCs w:val="60"/>
          <w14:ligatures w14:val="none"/>
        </w:rPr>
      </w:pPr>
      <w:r w:rsidRPr="00CE0CBB">
        <w:rPr>
          <w:rFonts w:ascii="Arial" w:eastAsia="Times New Roman" w:hAnsi="Arial" w:cs="Arial"/>
          <w:color w:val="001214"/>
          <w:kern w:val="36"/>
          <w:sz w:val="60"/>
          <w:szCs w:val="60"/>
          <w14:ligatures w14:val="none"/>
        </w:rPr>
        <w:t>What to expect at the ASH meeting, and some thoughts on the FDA’s Richard Pazdur</w:t>
      </w:r>
    </w:p>
    <w:p w14:paraId="1BD582BD" w14:textId="664D335B" w:rsidR="00CE0CBB" w:rsidRPr="00CE0CBB" w:rsidRDefault="00CE0CBB" w:rsidP="00CE0CB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6A7580"/>
          <w:kern w:val="0"/>
          <w:sz w:val="36"/>
          <w:szCs w:val="36"/>
          <w14:ligatures w14:val="none"/>
        </w:rPr>
      </w:pPr>
      <w:r w:rsidRPr="00CE0CBB">
        <w:rPr>
          <w:rFonts w:ascii="Arial" w:eastAsia="Times New Roman" w:hAnsi="Arial" w:cs="Arial"/>
          <w:color w:val="6A7580"/>
          <w:kern w:val="0"/>
          <w:sz w:val="36"/>
          <w:szCs w:val="36"/>
          <w14:ligatures w14:val="none"/>
        </w:rPr>
        <w:t xml:space="preserve">The annual gathering of the American Society of Hematology will feature </w:t>
      </w:r>
      <w:proofErr w:type="gramStart"/>
      <w:r w:rsidRPr="00CE0CBB">
        <w:rPr>
          <w:rFonts w:ascii="Arial" w:eastAsia="Times New Roman" w:hAnsi="Arial" w:cs="Arial"/>
          <w:color w:val="6A7580"/>
          <w:kern w:val="0"/>
          <w:sz w:val="36"/>
          <w:szCs w:val="36"/>
          <w14:ligatures w14:val="none"/>
        </w:rPr>
        <w:t>a number of</w:t>
      </w:r>
      <w:proofErr w:type="gramEnd"/>
      <w:r w:rsidRPr="00CE0CBB">
        <w:rPr>
          <w:rFonts w:ascii="Arial" w:eastAsia="Times New Roman" w:hAnsi="Arial" w:cs="Arial"/>
          <w:color w:val="6A7580"/>
          <w:kern w:val="0"/>
          <w:sz w:val="36"/>
          <w:szCs w:val="36"/>
          <w14:ligatures w14:val="none"/>
        </w:rPr>
        <w:t xml:space="preserve"> key presentations</w:t>
      </w:r>
    </w:p>
    <w:p w14:paraId="69055D6E" w14:textId="77777777" w:rsidR="00CE0CBB" w:rsidRPr="00CE0CBB" w:rsidRDefault="00CE0CBB" w:rsidP="00CE0C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214"/>
          <w:kern w:val="0"/>
          <w14:ligatures w14:val="none"/>
        </w:rPr>
      </w:pPr>
      <w:r w:rsidRPr="00CE0CBB">
        <w:rPr>
          <w:rFonts w:ascii="Arial" w:eastAsia="Times New Roman" w:hAnsi="Arial" w:cs="Arial"/>
          <w:color w:val="001214"/>
          <w:kern w:val="0"/>
          <w14:ligatures w14:val="none"/>
        </w:rPr>
        <w:t>By </w:t>
      </w:r>
      <w:hyperlink r:id="rId5" w:history="1">
        <w:r w:rsidRPr="00CE0CB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Adam Feuerstein</w:t>
        </w:r>
      </w:hyperlink>
    </w:p>
    <w:p w14:paraId="0DDE3DD3" w14:textId="77777777" w:rsidR="00CE0CBB" w:rsidRPr="00CE0CBB" w:rsidRDefault="00CE0CBB" w:rsidP="00CE0C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A7580"/>
          <w:kern w:val="0"/>
          <w:sz w:val="21"/>
          <w:szCs w:val="21"/>
          <w14:ligatures w14:val="none"/>
        </w:rPr>
      </w:pPr>
      <w:r w:rsidRPr="00CE0CBB">
        <w:rPr>
          <w:rFonts w:ascii="Arial" w:eastAsia="Times New Roman" w:hAnsi="Arial" w:cs="Arial"/>
          <w:color w:val="6A7580"/>
          <w:kern w:val="0"/>
          <w:sz w:val="21"/>
          <w:szCs w:val="21"/>
          <w14:ligatures w14:val="none"/>
        </w:rPr>
        <w:t>Dec. 4, 2025</w:t>
      </w:r>
    </w:p>
    <w:p w14:paraId="21F67A9B" w14:textId="77777777" w:rsidR="00CE0CBB" w:rsidRPr="00CE0CBB" w:rsidRDefault="00CE0CBB" w:rsidP="00CE0C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C565E"/>
          <w:kern w:val="0"/>
          <w:sz w:val="21"/>
          <w:szCs w:val="21"/>
          <w14:ligatures w14:val="none"/>
        </w:rPr>
      </w:pPr>
      <w:r w:rsidRPr="00CE0CBB">
        <w:rPr>
          <w:rFonts w:ascii="Arial" w:eastAsia="Times New Roman" w:hAnsi="Arial" w:cs="Arial"/>
          <w:color w:val="4C565E"/>
          <w:kern w:val="0"/>
          <w:sz w:val="21"/>
          <w:szCs w:val="21"/>
          <w14:ligatures w14:val="none"/>
        </w:rPr>
        <w:t>Senior Writer, Biotech</w:t>
      </w:r>
    </w:p>
    <w:p w14:paraId="77F4B18C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The New England Patriots will be in the Super Bowl this year.</w:t>
      </w:r>
    </w:p>
    <w:p w14:paraId="014C39D4" w14:textId="5D7E89CE" w:rsidR="00CE0CBB" w:rsidRPr="00CE0CBB" w:rsidRDefault="00CE0CBB" w:rsidP="00CE0CBB">
      <w:pPr>
        <w:pBdr>
          <w:bottom w:val="single" w:sz="6" w:space="5" w:color="F3F3F3"/>
        </w:pBdr>
        <w:shd w:val="clear" w:color="auto" w:fill="FFFFFF"/>
        <w:spacing w:after="480" w:line="240" w:lineRule="auto"/>
        <w:jc w:val="center"/>
        <w:rPr>
          <w:rFonts w:ascii="Arial" w:eastAsia="Times New Roman" w:hAnsi="Arial" w:cs="Arial"/>
          <w:caps/>
          <w:color w:val="6A7580"/>
          <w:spacing w:val="23"/>
          <w:kern w:val="0"/>
          <w:sz w:val="12"/>
          <w:szCs w:val="12"/>
          <w14:ligatures w14:val="none"/>
        </w:rPr>
      </w:pPr>
    </w:p>
    <w:p w14:paraId="64533821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In other news, ASH is upon us! If you’re going to be in Orlando, don’t forget to drop by STAT’s event tomorrow evening. Details </w:t>
      </w:r>
      <w:hyperlink r:id="rId6" w:history="1">
        <w:r w:rsidRPr="00CE0CBB">
          <w:rPr>
            <w:rFonts w:ascii="Georgia" w:eastAsia="Times New Roman" w:hAnsi="Georgia" w:cs="Times New Roman"/>
            <w:color w:val="001214"/>
            <w:kern w:val="0"/>
            <w:sz w:val="29"/>
            <w:szCs w:val="29"/>
            <w:u w:val="single"/>
            <w14:ligatures w14:val="none"/>
          </w:rPr>
          <w:t>here</w:t>
        </w:r>
      </w:hyperlink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.</w:t>
      </w:r>
    </w:p>
    <w:p w14:paraId="679D3A15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/>
          <w:kern w:val="0"/>
          <w:sz w:val="42"/>
          <w:szCs w:val="42"/>
          <w14:ligatures w14:val="none"/>
        </w:rPr>
      </w:pPr>
      <w:proofErr w:type="spellStart"/>
      <w:r w:rsidRPr="00CE0CBB">
        <w:rPr>
          <w:rFonts w:ascii="Arial" w:eastAsia="Times New Roman" w:hAnsi="Arial" w:cs="Arial"/>
          <w:color w:val="000000"/>
          <w:kern w:val="0"/>
          <w:sz w:val="42"/>
          <w:szCs w:val="42"/>
          <w14:ligatures w14:val="none"/>
        </w:rPr>
        <w:t>Pazdur</w:t>
      </w:r>
      <w:proofErr w:type="spellEnd"/>
      <w:r w:rsidRPr="00CE0CBB">
        <w:rPr>
          <w:rFonts w:ascii="Arial" w:eastAsia="Times New Roman" w:hAnsi="Arial" w:cs="Arial"/>
          <w:color w:val="000000"/>
          <w:kern w:val="0"/>
          <w:sz w:val="42"/>
          <w:szCs w:val="42"/>
          <w14:ligatures w14:val="none"/>
        </w:rPr>
        <w:t xml:space="preserve"> is gone. Long live </w:t>
      </w:r>
      <w:proofErr w:type="spellStart"/>
      <w:r w:rsidRPr="00CE0CBB">
        <w:rPr>
          <w:rFonts w:ascii="Arial" w:eastAsia="Times New Roman" w:hAnsi="Arial" w:cs="Arial"/>
          <w:color w:val="000000"/>
          <w:kern w:val="0"/>
          <w:sz w:val="42"/>
          <w:szCs w:val="42"/>
          <w14:ligatures w14:val="none"/>
        </w:rPr>
        <w:t>Pazdur</w:t>
      </w:r>
      <w:proofErr w:type="spellEnd"/>
    </w:p>
    <w:p w14:paraId="15CA12BF" w14:textId="61BE52E2" w:rsidR="00CE0CBB" w:rsidRPr="00CE0CBB" w:rsidRDefault="00CE0CBB" w:rsidP="00CE0C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CE0CBB">
        <w:rPr>
          <w:rFonts w:ascii="Times New Roman" w:eastAsia="Times New Roman" w:hAnsi="Times New Roman" w:cs="Times New Roman"/>
          <w:color w:val="6A7580"/>
          <w:kern w:val="0"/>
          <w:sz w:val="17"/>
          <w:szCs w:val="17"/>
          <w14:ligatures w14:val="none"/>
        </w:rPr>
        <w:t>Marie Miller for STAT</w:t>
      </w:r>
    </w:p>
    <w:p w14:paraId="043DD812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Life comes at you fast, especially when you’re trying to write about the FDA. In this space just </w:t>
      </w:r>
      <w:hyperlink r:id="rId7" w:history="1">
        <w:r w:rsidRPr="00CE0CBB">
          <w:rPr>
            <w:rFonts w:ascii="Georgia" w:eastAsia="Times New Roman" w:hAnsi="Georgia" w:cs="Times New Roman"/>
            <w:color w:val="001214"/>
            <w:kern w:val="0"/>
            <w:sz w:val="29"/>
            <w:szCs w:val="29"/>
            <w:u w:val="single"/>
            <w14:ligatures w14:val="none"/>
          </w:rPr>
          <w:t>two weeks ago</w:t>
        </w:r>
      </w:hyperlink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, I was telling you to watch how Richard Pazdur, newly elevated to the agency’s CDER directorship, handled the dangling accelerated approvals of Sarepta Therapeutics’ Duchenne muscular dystrophy drugs. </w:t>
      </w:r>
    </w:p>
    <w:p w14:paraId="5396E43C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His decision would “tell us a lot about how much independence and scientific rigor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Pazdur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intends to bring to the new job,” I wrote. </w:t>
      </w:r>
    </w:p>
    <w:p w14:paraId="530226F0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Never mind.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Pazdur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has now </w:t>
      </w:r>
      <w:hyperlink r:id="rId8" w:history="1">
        <w:r w:rsidRPr="00CE0CBB">
          <w:rPr>
            <w:rFonts w:ascii="Georgia" w:eastAsia="Times New Roman" w:hAnsi="Georgia" w:cs="Times New Roman"/>
            <w:color w:val="001214"/>
            <w:kern w:val="0"/>
            <w:sz w:val="29"/>
            <w:szCs w:val="29"/>
            <w:u w:val="single"/>
            <w14:ligatures w14:val="none"/>
          </w:rPr>
          <w:t>submitted his retirement papers</w:t>
        </w:r>
      </w:hyperlink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 and informed colleagues and staff of his intention to leave the agency, my colleague Lizzy Lawrence reported exclusively on Tuesday. </w:t>
      </w:r>
    </w:p>
    <w:p w14:paraId="149CB283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I wish I could tell you I was shocked or even mildly surprised that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Pazdur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, after just three weeks in his new FDA role, chose to retire rather </w:t>
      </w: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lastRenderedPageBreak/>
        <w:t>than work alongside Commissioner Marty Makary and CBER chief Vinay Prasad. </w:t>
      </w:r>
    </w:p>
    <w:p w14:paraId="5A78FF97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I am not. As Lizzy reported in her story: </w:t>
      </w:r>
    </w:p>
    <w:p w14:paraId="6EF21FF1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“Three sources close to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Pazdur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told STAT that concerns about the legality of a new drug review program, Makary and Prasad inserting themselves into drug review decisions, and Makary’s efforts to handpick hires for CDER contributed to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Pazdur’s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decision to leave.”</w:t>
      </w:r>
    </w:p>
    <w:p w14:paraId="59C04374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Pazdur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is a highly experienced and universally respected drug regulator with a two decades-plus track record of leadership excellence inside the FDA. The agency has been hollowed out over the past year, first by Elon Musk and DOGE, then by Makary and Prasad.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Pazdur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could have quit long ago with his legacy secure. He chose to stay, providing a crucial backstop </w:t>
      </w:r>
      <w:proofErr w:type="gram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of</w:t>
      </w:r>
      <w:proofErr w:type="gram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stability and institutional expertise amid the chaos. </w:t>
      </w:r>
    </w:p>
    <w:p w14:paraId="3FE8B05A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Everyone has their limits, I guess. With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Pazdur’s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exit, the FDA has reached a very dangerous tipping point. </w:t>
      </w:r>
    </w:p>
    <w:p w14:paraId="5CC24629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Some biotech investor friends tell me I worry too much. The sector has performed exceptionally well this year despite the FDA tumult. M&amp;A activity is red hot. Drug launches are robust. Even macro factors like interest rates and drug pricing threats, long a sector headwind, are now reversing course. </w:t>
      </w:r>
    </w:p>
    <w:p w14:paraId="240A6817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All true, for now. But the FDA is being dismantled from the inside. If allowed to continue, the repercussions will be dire, even for my most optimistic biotech investor friends.</w:t>
      </w:r>
    </w:p>
    <w:p w14:paraId="3E4801FD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Postscript: Tracy Beth Høeg, the Makary aide who investigated Covid vaccines with Prasad, was </w:t>
      </w:r>
      <w:hyperlink r:id="rId9" w:history="1">
        <w:r w:rsidRPr="00CE0CBB">
          <w:rPr>
            <w:rFonts w:ascii="Georgia" w:eastAsia="Times New Roman" w:hAnsi="Georgia" w:cs="Times New Roman"/>
            <w:color w:val="001214"/>
            <w:kern w:val="0"/>
            <w:sz w:val="29"/>
            <w:szCs w:val="29"/>
            <w:u w:val="single"/>
            <w14:ligatures w14:val="none"/>
          </w:rPr>
          <w:t>named CDER chief</w:t>
        </w:r>
      </w:hyperlink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 on Wednesday night. This is a terrible appointment for the FDA, particularly bad coming just days after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Pazdur’s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exit. </w:t>
      </w:r>
    </w:p>
    <w:p w14:paraId="6B811342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/>
          <w:kern w:val="0"/>
          <w:sz w:val="42"/>
          <w:szCs w:val="42"/>
          <w14:ligatures w14:val="none"/>
        </w:rPr>
      </w:pPr>
      <w:r w:rsidRPr="00CE0CBB">
        <w:rPr>
          <w:rFonts w:ascii="Arial" w:eastAsia="Times New Roman" w:hAnsi="Arial" w:cs="Arial"/>
          <w:color w:val="000000"/>
          <w:kern w:val="0"/>
          <w:sz w:val="42"/>
          <w:szCs w:val="42"/>
          <w14:ligatures w14:val="none"/>
        </w:rPr>
        <w:t>What to expect at the ASH meeting</w:t>
      </w:r>
    </w:p>
    <w:p w14:paraId="51CCCEB3" w14:textId="3611BE4D" w:rsidR="00CE0CBB" w:rsidRPr="00CE0CBB" w:rsidRDefault="00CE0CBB" w:rsidP="00CE0C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39228F74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lastRenderedPageBreak/>
        <w:t>It’s true, I do love the annual meeting of the American Society of Hematology. As you read this newsletter, I am on my way to the airport, escaping the Boston winter blues for the sun and warmth of Orlando. My hotel has a lazy river pool. Can I float and type at the same time? We may find out.</w:t>
      </w:r>
    </w:p>
    <w:p w14:paraId="7DE63A97" w14:textId="142267BB" w:rsidR="00CE0CBB" w:rsidRPr="00CE0CBB" w:rsidRDefault="00CE0CBB" w:rsidP="00CE0CBB">
      <w:pPr>
        <w:pBdr>
          <w:bottom w:val="single" w:sz="6" w:space="5" w:color="F3F3F3"/>
        </w:pBdr>
        <w:shd w:val="clear" w:color="auto" w:fill="FFFFFF"/>
        <w:spacing w:after="480" w:line="240" w:lineRule="auto"/>
        <w:jc w:val="center"/>
        <w:rPr>
          <w:rFonts w:ascii="Arial" w:eastAsia="Times New Roman" w:hAnsi="Arial" w:cs="Arial"/>
          <w:caps/>
          <w:color w:val="6A7580"/>
          <w:spacing w:val="23"/>
          <w:kern w:val="0"/>
          <w:sz w:val="12"/>
          <w:szCs w:val="12"/>
          <w14:ligatures w14:val="none"/>
        </w:rPr>
      </w:pPr>
    </w:p>
    <w:p w14:paraId="0462B0D0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If you just can’t get enough of me in your inbox, we will have a special pop-up newsletter from the conference that you can sign up for </w:t>
      </w:r>
      <w:hyperlink r:id="rId10" w:history="1">
        <w:r w:rsidRPr="00CE0CBB">
          <w:rPr>
            <w:rFonts w:ascii="Georgia" w:eastAsia="Times New Roman" w:hAnsi="Georgia" w:cs="Times New Roman"/>
            <w:color w:val="001214"/>
            <w:kern w:val="0"/>
            <w:sz w:val="29"/>
            <w:szCs w:val="29"/>
            <w:u w:val="single"/>
            <w14:ligatures w14:val="none"/>
          </w:rPr>
          <w:t>here</w:t>
        </w:r>
      </w:hyperlink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.</w:t>
      </w:r>
    </w:p>
    <w:p w14:paraId="5925DC13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In the meantime, here’s a preview: </w:t>
      </w:r>
    </w:p>
    <w:p w14:paraId="1C78ADCE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b/>
          <w:bCs/>
          <w:color w:val="001214"/>
          <w:kern w:val="0"/>
          <w:sz w:val="29"/>
          <w:szCs w:val="29"/>
          <w14:ligatures w14:val="none"/>
        </w:rPr>
        <w:t>The next CML blockbuster </w:t>
      </w:r>
    </w:p>
    <w:p w14:paraId="5CB076B3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Terns Pharmaceuticals is developing a new tyrosine kinase inhibitor called TERN-701 for the treatment of chronic myeloid leukemia (CML), a slow-growing cancer that starts in myeloid cells. The company will present updated results from a Phase 1 study on Monday. </w:t>
      </w:r>
    </w:p>
    <w:p w14:paraId="78C69A13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TERN-701 has garnered considerable attention for its potential to be superior to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Scemblix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, Novartis’ current and best-in-class CML drug currently annualizing at $1.4 billion in sales. Novartis recently increased its peak sales forecast for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Scemblix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to $4 billion from $3 billion. </w:t>
      </w:r>
    </w:p>
    <w:p w14:paraId="7611BE10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In the ASH research abstract summarizing an earlier look at the Phase 1 study, 64% of patients treated with TERN-701 achieved a major molecular response, or MMR, at six months. The 32 evaluable patients entered the study after receiving a median of three prior treatments for CML, including 36% with prior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Scemblix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. There were no dose-limiting toxicities reported in the study and no cases of pancreatitis, a side effect of concern for this class of tyrosine kinase inhibitors. </w:t>
      </w:r>
    </w:p>
    <w:p w14:paraId="21B5730F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The preliminary results for TERN-701 surpassed investor expectations. In Novartis’ Phase 1 study (not entirely comparable but similar enough),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Scemblix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showed a 24% rate of major molecular response. </w:t>
      </w:r>
    </w:p>
    <w:p w14:paraId="490BDB0B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Terns’ stock price more than tripled in reaction to the data included in the ASH abstract. At $26, the company’s enterprise value is now $2.1 billion. </w:t>
      </w:r>
    </w:p>
    <w:p w14:paraId="66DF119B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lastRenderedPageBreak/>
        <w:t>At the ASH meeting next week, Terns will present another TERN-701 study update, including additional patients and longer follow-up.</w:t>
      </w:r>
    </w:p>
    <w:p w14:paraId="16B354A2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b/>
          <w:bCs/>
          <w:color w:val="001214"/>
          <w:kern w:val="0"/>
          <w:sz w:val="29"/>
          <w:szCs w:val="29"/>
          <w14:ligatures w14:val="none"/>
        </w:rPr>
        <w:t>A new way to treat myelofibrosis </w:t>
      </w:r>
    </w:p>
    <w:p w14:paraId="78C27ED9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Jakafi, the Incyte drug that works by blocking a protein called JAK, is the most widely used treatment for patients with myelofibrosis, a rare bone marrow cancer that causes low blood cell counts and enlarged spleens. But with Jakafi losing patent protection in 2028, Incyte has shifted its research focus to a new and internally discovered drug target — a mutation in a protein called calreticulin — that may yield a different way of treating myelofibrosis and other related diseases.</w:t>
      </w:r>
    </w:p>
    <w:p w14:paraId="58894D48" w14:textId="37A7293A" w:rsidR="00CE0CBB" w:rsidRPr="00CE0CBB" w:rsidRDefault="00CE0CBB" w:rsidP="00CE0CBB">
      <w:pPr>
        <w:pBdr>
          <w:bottom w:val="single" w:sz="6" w:space="5" w:color="F3F3F3"/>
        </w:pBdr>
        <w:shd w:val="clear" w:color="auto" w:fill="FFFFFF"/>
        <w:spacing w:after="480" w:line="240" w:lineRule="auto"/>
        <w:rPr>
          <w:rFonts w:ascii="Arial" w:eastAsia="Times New Roman" w:hAnsi="Arial" w:cs="Arial"/>
          <w:caps/>
          <w:color w:val="6A7580"/>
          <w:spacing w:val="23"/>
          <w:kern w:val="0"/>
          <w:sz w:val="12"/>
          <w:szCs w:val="12"/>
          <w14:ligatures w14:val="none"/>
        </w:rPr>
      </w:pPr>
    </w:p>
    <w:p w14:paraId="2666A623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On Sunday, Incyte will present the first data on its novel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mutCALR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-targeted drug, called INCA033989 (’989 for short) from an early-stage study involving patients with advanced myelofibrosis. </w:t>
      </w:r>
    </w:p>
    <w:p w14:paraId="4B006488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Initial ’989 data reported in the ASH research abstract showed 30% of </w:t>
      </w:r>
      <w:proofErr w:type="gram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patients  achieving</w:t>
      </w:r>
      <w:proofErr w:type="gram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at least a 35% reduction in spleen volume (SVR35 response) after 24 weeks. The analysis came from 47 patients with myelofibrosis no longer responsive to Jakafi. </w:t>
      </w:r>
    </w:p>
    <w:p w14:paraId="691D8ABF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GSK’s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Ojjaara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is typically used as a second-line treatment for myelofibrosis, based on a pivotal study that showed a SVR35 response rate of 23%. </w:t>
      </w:r>
    </w:p>
    <w:p w14:paraId="2D60BD52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At the ASH meeting, Incyte will present another update on its Phase 1 study, including additional patients and longer follow-up. Importantly, the company is expected to present data on ’989’s ability to improve the symptoms of myelofibrosis — an efficacy measure that is crucial for ultimately securing </w:t>
      </w:r>
      <w:proofErr w:type="gram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an approval</w:t>
      </w:r>
      <w:proofErr w:type="gram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, along with reductions in spleen volume.</w:t>
      </w:r>
    </w:p>
    <w:p w14:paraId="734BB6E5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b/>
          <w:bCs/>
          <w:color w:val="001214"/>
          <w:kern w:val="0"/>
          <w:sz w:val="29"/>
          <w:szCs w:val="29"/>
          <w14:ligatures w14:val="none"/>
        </w:rPr>
        <w:t>Battle of the BCMA CAR-Ts</w:t>
      </w:r>
    </w:p>
    <w:p w14:paraId="3AB473AA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This year’s ASH meeting promises another tag team fight among the makers of BCMA-targeted CAR-T therapies for multiple myeloma. In one corner, the entrenched standard bearer: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Carvykti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from Johnson &amp; Johnson and Legend Biotech. In the other corner, the upstart challenger: </w:t>
      </w: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lastRenderedPageBreak/>
        <w:t xml:space="preserve">Anito-cel from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Arcellx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and the Kite cell therapy division of Gilead Sciences. </w:t>
      </w:r>
    </w:p>
    <w:p w14:paraId="37C61FFE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For anito-cel, the focus will be on a Saturday presentation that will include 18-month progression-free survival from the pivotal IMMAGINE-1 clinical trial. Investor expectations are a moving target, but for now, an 18-month progression-free survival rate in the range of 70% should satisfy the anito-cel bulls. In its own study,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Carvykti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showed an 18-month PFS rate of 66%, although there are differences in the rival studies that make comparing results difficult. Whether or not anito-cel results are skewed higher because patients are less sick and benefit from improved pre-treatment bridging options is a source of never-ending debate between bulls and bears.</w:t>
      </w:r>
    </w:p>
    <w:p w14:paraId="46C627F1" w14:textId="14AE548F" w:rsidR="00CE0CBB" w:rsidRPr="00CE0CBB" w:rsidRDefault="00CE0CBB" w:rsidP="00CE0CBB">
      <w:pPr>
        <w:pBdr>
          <w:bottom w:val="single" w:sz="6" w:space="5" w:color="F3F3F3"/>
        </w:pBdr>
        <w:shd w:val="clear" w:color="auto" w:fill="FFFFFF"/>
        <w:spacing w:after="480" w:line="240" w:lineRule="auto"/>
        <w:jc w:val="center"/>
        <w:rPr>
          <w:rFonts w:ascii="Arial" w:eastAsia="Times New Roman" w:hAnsi="Arial" w:cs="Arial"/>
          <w:caps/>
          <w:color w:val="6A7580"/>
          <w:spacing w:val="23"/>
          <w:kern w:val="0"/>
          <w:sz w:val="12"/>
          <w:szCs w:val="12"/>
          <w14:ligatures w14:val="none"/>
        </w:rPr>
      </w:pPr>
    </w:p>
    <w:p w14:paraId="3AF72C22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Meanwhile,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Carvykti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sales continue to grow, reaching $524 million in the third quarter, boosted by strong patient demand and an expansion of J&amp;J manufacturing capacity. At ASH, J&amp;J and Legend will present findings from studies highlighting the benefits of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Carvykti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in earlier lines of multiple myeloma treatment.</w:t>
      </w:r>
    </w:p>
    <w:p w14:paraId="3764D730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b/>
          <w:bCs/>
          <w:color w:val="001214"/>
          <w:kern w:val="0"/>
          <w:sz w:val="29"/>
          <w:szCs w:val="29"/>
          <w14:ligatures w14:val="none"/>
        </w:rPr>
        <w:t>Sickle cell disease updates</w:t>
      </w:r>
    </w:p>
    <w:p w14:paraId="32A0272D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On Saturday, Fulcrum Therapeutics will report new Phase 2 data from a higher, 20 milligram </w:t>
      </w:r>
      <w:proofErr w:type="gram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dose</w:t>
      </w:r>
      <w:proofErr w:type="gram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of its experimental pill called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pociredir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that is designed to increase levels of an alternative form of oxygen-carrying hemoglobin. Data from patients treated with a lower dose of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pociredir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were </w:t>
      </w:r>
      <w:hyperlink r:id="rId11" w:history="1">
        <w:r w:rsidRPr="00CE0CBB">
          <w:rPr>
            <w:rFonts w:ascii="Georgia" w:eastAsia="Times New Roman" w:hAnsi="Georgia" w:cs="Times New Roman"/>
            <w:color w:val="001214"/>
            <w:kern w:val="0"/>
            <w:sz w:val="29"/>
            <w:szCs w:val="29"/>
            <w:u w:val="single"/>
            <w14:ligatures w14:val="none"/>
          </w:rPr>
          <w:t>reported last July</w:t>
        </w:r>
      </w:hyperlink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. </w:t>
      </w:r>
    </w:p>
    <w:p w14:paraId="450BC1EA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On the same day, and </w:t>
      </w:r>
      <w:proofErr w:type="gram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actually at</w:t>
      </w:r>
      <w:proofErr w:type="gram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the same poster presentation, Beam Therapeutics will report a small update from its early-stage study of BEAM-101, its experimental base-editing treatment.</w:t>
      </w:r>
    </w:p>
    <w:p w14:paraId="6F1AFC4E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Vertex Pharmaceuticals and CRISPR Therapeutics are presenting on Saturday the outcome of a study that treated children with their gene-editing treatment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Casgevy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. </w:t>
      </w:r>
    </w:p>
    <w:p w14:paraId="794E356B" w14:textId="77777777" w:rsidR="00CE0CBB" w:rsidRPr="00CE0CBB" w:rsidRDefault="00CE0CBB" w:rsidP="00CE0CBB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</w:pPr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On Monday,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Genetix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 xml:space="preserve"> Biotherapeutics, the former Bluebird Bio, will report a commercial update on its gene therapy </w:t>
      </w:r>
      <w:proofErr w:type="spellStart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Lyfgenia</w:t>
      </w:r>
      <w:proofErr w:type="spellEnd"/>
      <w:r w:rsidRPr="00CE0CBB">
        <w:rPr>
          <w:rFonts w:ascii="Georgia" w:eastAsia="Times New Roman" w:hAnsi="Georgia" w:cs="Times New Roman"/>
          <w:color w:val="001214"/>
          <w:kern w:val="0"/>
          <w:sz w:val="29"/>
          <w:szCs w:val="29"/>
          <w14:ligatures w14:val="none"/>
        </w:rPr>
        <w:t>.</w:t>
      </w:r>
    </w:p>
    <w:p w14:paraId="0AF67F70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DEF"/>
    <w:multiLevelType w:val="multilevel"/>
    <w:tmpl w:val="8E4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8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BB"/>
    <w:rsid w:val="00004E47"/>
    <w:rsid w:val="00640472"/>
    <w:rsid w:val="00CE0CBB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1E85"/>
  <w15:chartTrackingRefBased/>
  <w15:docId w15:val="{A2791420-D7D2-49A2-8D60-B39D9D74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news.com/2025/12/02/richard-pazdur-cder-director-fda-set-to-retir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tatnews.com/2025/11/20/fda-sarepta-therapeutics-richard-pazdur-duchenn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news.com/event/stat-at-ash-2025/" TargetMode="External"/><Relationship Id="rId11" Type="http://schemas.openxmlformats.org/officeDocument/2006/relationships/hyperlink" Target="https://www.statnews.com/2025/07/29/fulcrum-study-results-pill-treatment-sickle-cell-disease/" TargetMode="External"/><Relationship Id="rId5" Type="http://schemas.openxmlformats.org/officeDocument/2006/relationships/hyperlink" Target="https://www.statnews.com/staff/adam-feuerstein/" TargetMode="External"/><Relationship Id="rId10" Type="http://schemas.openxmlformats.org/officeDocument/2006/relationships/hyperlink" Target="https://www.statnews.com/signup/ash-in-30-secon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atnews.com/2025/12/03/tracy-beth-hoeg-lead-center-for-drug-evaluation-and-re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1468</Words>
  <Characters>7722</Characters>
  <Application>Microsoft Office Word</Application>
  <DocSecurity>0</DocSecurity>
  <Lines>167</Lines>
  <Paragraphs>68</Paragraphs>
  <ScaleCrop>false</ScaleCrop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2025-12-04T14:22:00Z</dcterms:created>
  <dcterms:modified xsi:type="dcterms:W3CDTF">2025-12-04T14:23:00Z</dcterms:modified>
</cp:coreProperties>
</file>