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BB4D" w14:textId="77777777" w:rsidR="002E44AC" w:rsidRDefault="00000000">
      <w:pPr>
        <w:pStyle w:val="Heading1"/>
      </w:pPr>
      <w:r>
        <w:t>Main Therapeutic Areas in Terms of R&amp;D Spend</w:t>
      </w:r>
    </w:p>
    <w:p w14:paraId="5F0A5CED" w14:textId="77777777" w:rsidR="002E44AC" w:rsidRDefault="00000000">
      <w:r>
        <w:t>The main therapeutic areas in terms of R&amp;D spend are often determined by the number of R&amp;D products in development. According to Statista, the top therapeutic categories worldwide by the number of R&amp;D products in 2024 include oncology, neurology, and infectious diseases. These areas typically attract significant R&amp;D investment due to the high unmet medical needs and the potential for substantial market returns.</w:t>
      </w:r>
    </w:p>
    <w:p w14:paraId="2B9BD5ED" w14:textId="77777777" w:rsidR="002E44AC" w:rsidRDefault="00000000">
      <w:pPr>
        <w:pStyle w:val="Heading2"/>
      </w:pPr>
      <w:r>
        <w:t>Key Insights</w:t>
      </w:r>
    </w:p>
    <w:p w14:paraId="146AB92C" w14:textId="77777777" w:rsidR="002E44AC" w:rsidRDefault="00000000">
      <w:pPr>
        <w:pStyle w:val="Heading3"/>
      </w:pPr>
      <w:r>
        <w:t>Oncology</w:t>
      </w:r>
    </w:p>
    <w:p w14:paraId="5D4E78D1" w14:textId="77777777" w:rsidR="002E44AC" w:rsidRDefault="00000000">
      <w:r>
        <w:t>Total Spend: Oncology is the leading therapeutic area in terms of R&amp;D spending. In 2022, global spending on cancer medicines reached $196 billion, with projections to reach $375 billion by 2027.</w:t>
      </w:r>
    </w:p>
    <w:p w14:paraId="267DCDBB" w14:textId="77777777" w:rsidR="002E44AC" w:rsidRDefault="00000000">
      <w:r>
        <w:t>Growth Rate: The spending has been growing at an average annual rate of 12% over the last five years.</w:t>
      </w:r>
    </w:p>
    <w:p w14:paraId="434A56AD" w14:textId="77777777" w:rsidR="002E44AC" w:rsidRDefault="00000000">
      <w:r>
        <w:t>Focus: Cancer treatments account for 15.4% of all clinical trials, making it the most researched therapeutic area.</w:t>
      </w:r>
    </w:p>
    <w:p w14:paraId="15EBF93A" w14:textId="77777777" w:rsidR="002E44AC" w:rsidRDefault="00000000">
      <w:r>
        <w:t>Major Investors: Companies like Merck &amp; Co., Roche, and Novartis have substantial investments in oncology. For example, Merck &amp; Co. has focused heavily on expanding its immuno-oncology portfolio, particularly after the success of its cancer drug Keytruda.</w:t>
      </w:r>
    </w:p>
    <w:p w14:paraId="18C4D966" w14:textId="77777777" w:rsidR="002E44AC" w:rsidRDefault="00000000">
      <w:pPr>
        <w:pStyle w:val="Heading3"/>
      </w:pPr>
      <w:r>
        <w:t>Immunology</w:t>
      </w:r>
    </w:p>
    <w:p w14:paraId="52D4E1CA" w14:textId="77777777" w:rsidR="002E44AC" w:rsidRDefault="00000000">
      <w:r>
        <w:t>Total Spend: Companies like AbbVie have heavily invested in this space, with AbbVie spending $7.7 billion on R&amp;D in 2022.</w:t>
      </w:r>
    </w:p>
    <w:p w14:paraId="4BE6E404" w14:textId="77777777" w:rsidR="002E44AC" w:rsidRDefault="00000000">
      <w:r>
        <w:t>Focus Areas: This includes autoimmune diseases and immuno-oncology, with significant investments in developing new therapies and improving existing ones.</w:t>
      </w:r>
    </w:p>
    <w:p w14:paraId="73C63AED" w14:textId="77777777" w:rsidR="002E44AC" w:rsidRDefault="00000000">
      <w:pPr>
        <w:pStyle w:val="Heading3"/>
      </w:pPr>
      <w:r>
        <w:t>Central Nervous System (CNS) Disorders</w:t>
      </w:r>
    </w:p>
    <w:p w14:paraId="16CF8F42" w14:textId="77777777" w:rsidR="002E44AC" w:rsidRDefault="00000000">
      <w:r>
        <w:t>Total Spend: Neuroscience, which includes CNS disorders, has seen substantial investments. For example, Johnson &amp; Johnson and Novartis have prioritized assets in mental health and neurodegenerative diseases.</w:t>
      </w:r>
    </w:p>
    <w:p w14:paraId="33B7A5E1" w14:textId="77777777" w:rsidR="002E44AC" w:rsidRDefault="00000000">
      <w:r>
        <w:t>Investment Trends: The focus on CNS disorders is driven by the high prevalence and societal impact of conditions like Alzheimer's and Parkinson's diseases.</w:t>
      </w:r>
    </w:p>
    <w:p w14:paraId="2763667B" w14:textId="77777777" w:rsidR="002E44AC" w:rsidRDefault="00000000">
      <w:pPr>
        <w:pStyle w:val="Heading3"/>
      </w:pPr>
      <w:r>
        <w:t>Cardiovascular Diseases</w:t>
      </w:r>
    </w:p>
    <w:p w14:paraId="2B5F49F0" w14:textId="77777777" w:rsidR="002E44AC" w:rsidRDefault="00000000">
      <w:r>
        <w:t>Total Spend: Cardiovascular diseases remain a significant area of R&amp;D investment. Companies like Johnson &amp; Johnson are actively investing in cardiovascular segments.</w:t>
      </w:r>
    </w:p>
    <w:p w14:paraId="01A43A15" w14:textId="77777777" w:rsidR="002E44AC" w:rsidRDefault="00000000">
      <w:r>
        <w:t>Market Dynamics: Despite effective treatments, cardiovascular disease remains a leading cause of global mortality, necessitating continued innovation.</w:t>
      </w:r>
    </w:p>
    <w:p w14:paraId="1454EC75" w14:textId="77777777" w:rsidR="002E44AC" w:rsidRDefault="00000000">
      <w:pPr>
        <w:pStyle w:val="Heading3"/>
      </w:pPr>
      <w:r>
        <w:lastRenderedPageBreak/>
        <w:t>Rare Diseases</w:t>
      </w:r>
    </w:p>
    <w:p w14:paraId="18FFFA28" w14:textId="77777777" w:rsidR="002E44AC" w:rsidRDefault="00000000">
      <w:r>
        <w:t>Total Spend: Research into rare diseases, or orphan diseases, is a notable area of R&amp;D spending. The development costs for medicines targeting rare diseases can be substantial, but the potential for high-impact treatments drives investment.</w:t>
      </w:r>
    </w:p>
    <w:p w14:paraId="2F2C919C" w14:textId="77777777" w:rsidR="002E44AC" w:rsidRDefault="00000000">
      <w:r>
        <w:t>Cost Efficiency: The average development costs of a medicine for an orphan disease could be as low as $0.5 billion.</w:t>
      </w:r>
    </w:p>
    <w:p w14:paraId="5BDACAED" w14:textId="77777777" w:rsidR="002E44AC" w:rsidRDefault="00000000">
      <w:pPr>
        <w:pStyle w:val="Heading3"/>
      </w:pPr>
      <w:r>
        <w:t>Respiratory Diseases</w:t>
      </w:r>
    </w:p>
    <w:p w14:paraId="73A7BF99" w14:textId="77777777" w:rsidR="002E44AC" w:rsidRDefault="00000000">
      <w:r>
        <w:t>Total Spend: The respiratory market has seen substantial growth, with global revenue increasing from $30.9 billion in 2016 to a forecasted $41.3 billion in 2023.</w:t>
      </w:r>
    </w:p>
    <w:p w14:paraId="056E3C7C" w14:textId="77777777" w:rsidR="002E44AC" w:rsidRDefault="00000000">
      <w:r>
        <w:t>Leading Companies: Companies like GSK and Vertex have been significant players in this market.</w:t>
      </w:r>
    </w:p>
    <w:p w14:paraId="711303BC" w14:textId="77777777" w:rsidR="002E44AC" w:rsidRDefault="00000000">
      <w:pPr>
        <w:pStyle w:val="Heading3"/>
      </w:pPr>
      <w:r>
        <w:t>Infectious Diseases and Vaccines</w:t>
      </w:r>
    </w:p>
    <w:p w14:paraId="01834753" w14:textId="77777777" w:rsidR="002E44AC" w:rsidRDefault="00000000">
      <w:r>
        <w:t>Total Spend: The focus on infectious diseases and vaccines remains strong, especially in the post-COVID-19 era. Ongoing investments in new vaccine technologies and treatments for various infectious diseases are significant.</w:t>
      </w:r>
    </w:p>
    <w:p w14:paraId="2453F0BA" w14:textId="77777777" w:rsidR="002E44AC" w:rsidRDefault="00000000">
      <w:r>
        <w:t>Emerging Infectious Diseases: There is a growing need for R&amp;D in emerging infectious diseases beyond COVID-19.</w:t>
      </w:r>
    </w:p>
    <w:p w14:paraId="4346E48A" w14:textId="77777777" w:rsidR="002E44AC" w:rsidRDefault="00000000">
      <w:pPr>
        <w:pStyle w:val="Heading3"/>
      </w:pPr>
      <w:r>
        <w:t>Diabetes and Obesity</w:t>
      </w:r>
    </w:p>
    <w:p w14:paraId="11BA66BA" w14:textId="77777777" w:rsidR="002E44AC" w:rsidRDefault="00000000">
      <w:r>
        <w:t>Total Spend: These areas are seeing significant R&amp;D investments due to the rising prevalence of these conditions globally. Advances in GLP-1s and other innovative treatments are transforming the treatment landscape for obesity and diabetes.</w:t>
      </w:r>
    </w:p>
    <w:p w14:paraId="3703AE9C" w14:textId="77777777" w:rsidR="002E44AC" w:rsidRDefault="00000000">
      <w:r>
        <w:t>Market Potential: The market for diabetes and obesity drugs is expected to grow substantially, driven by new product launches and increasing patient populations.</w:t>
      </w:r>
    </w:p>
    <w:p w14:paraId="234E63A0" w14:textId="77777777" w:rsidR="002E44AC" w:rsidRDefault="00000000">
      <w:pPr>
        <w:pStyle w:val="Heading3"/>
      </w:pPr>
      <w:r>
        <w:t>Gastrointestinal Diseases</w:t>
      </w:r>
    </w:p>
    <w:p w14:paraId="1150B982" w14:textId="77777777" w:rsidR="002E44AC" w:rsidRDefault="00000000">
      <w:r>
        <w:t>Total Spend: Gastrointestinal diseases are another area of significant R&amp;D investment. Companies are focusing on developing new treatments for conditions like inflammatory bowel disease (IBD) and irritable bowel syndrome (IBS).</w:t>
      </w:r>
    </w:p>
    <w:p w14:paraId="60E97589" w14:textId="77777777" w:rsidR="002E44AC" w:rsidRDefault="00000000">
      <w:r>
        <w:t>Innovative Approaches: Precision medicine approaches are being employed to develop targeted therapies for these conditions.</w:t>
      </w:r>
    </w:p>
    <w:p w14:paraId="774EE348" w14:textId="77777777" w:rsidR="002E44AC" w:rsidRDefault="00000000">
      <w:pPr>
        <w:pStyle w:val="Heading3"/>
      </w:pPr>
      <w:r>
        <w:t>Hematology</w:t>
      </w:r>
    </w:p>
    <w:p w14:paraId="28722B2E" w14:textId="77777777" w:rsidR="002E44AC" w:rsidRDefault="00000000">
      <w:r>
        <w:t>Total Spend: Hematology, which includes blood cancers and other blood disorders, is a critical area of R&amp;D. The number of blood cancer trials grew by 30% between 2017 and 2022.</w:t>
      </w:r>
    </w:p>
    <w:p w14:paraId="3EEF5E73" w14:textId="77777777" w:rsidR="002E44AC" w:rsidRDefault="00000000">
      <w:r>
        <w:t>Clinical Trials: Hematological cancers maintain the highest level of clinical productivity compared to other cancer disease areas.</w:t>
      </w:r>
    </w:p>
    <w:p w14:paraId="00073A59" w14:textId="77777777" w:rsidR="002E44AC" w:rsidRDefault="00000000">
      <w:pPr>
        <w:pStyle w:val="Heading2"/>
      </w:pPr>
      <w:r>
        <w:lastRenderedPageBreak/>
        <w:t>Difference Between a Therapeutic and a Platform</w:t>
      </w:r>
    </w:p>
    <w:p w14:paraId="30561045" w14:textId="77777777" w:rsidR="002E44AC" w:rsidRDefault="00000000">
      <w:r>
        <w:t>A therapeutic refers to a specific treatment or drug designed to treat a particular disease or condition. It directly interacts with the biological system to produce a therapeutic effect. Examples include drugs, medical procedures, and therapeutic activities.</w:t>
      </w:r>
    </w:p>
    <w:p w14:paraId="70BAF9C9" w14:textId="77777777" w:rsidR="002E44AC" w:rsidRDefault="00000000">
      <w:r>
        <w:t>A platform is a technology or method used to develop multiple therapeutics. Platforms include drug delivery systems, gene editing technologies, or other methodologies that can be applied across various therapeutic areas to create new treatments.</w:t>
      </w:r>
    </w:p>
    <w:p w14:paraId="500D8FE0" w14:textId="77777777" w:rsidR="002E44AC" w:rsidRDefault="00000000">
      <w:pPr>
        <w:pStyle w:val="ListBullet"/>
      </w:pPr>
      <w:r>
        <w:t>Examples of Platforms:</w:t>
      </w:r>
    </w:p>
    <w:p w14:paraId="335567F5" w14:textId="77777777" w:rsidR="002E44AC" w:rsidRDefault="00000000">
      <w:pPr>
        <w:pStyle w:val="ListBullet2"/>
      </w:pPr>
      <w:r>
        <w:t>mRNA Platforms: Used for developing vaccines and gene therapies.</w:t>
      </w:r>
    </w:p>
    <w:p w14:paraId="6E81E4D6" w14:textId="77777777" w:rsidR="002E44AC" w:rsidRDefault="00000000">
      <w:pPr>
        <w:pStyle w:val="ListBullet2"/>
      </w:pPr>
      <w:r>
        <w:t>Cell Therapy Platforms: Used for creating personalized treatments for cancer and other diseases.</w:t>
      </w:r>
    </w:p>
    <w:p w14:paraId="0834E6D9" w14:textId="77777777" w:rsidR="002E44AC" w:rsidRDefault="00000000">
      <w:pPr>
        <w:pStyle w:val="ListBullet2"/>
      </w:pPr>
      <w:r>
        <w:t>Antibody Platforms: Used for generating monoclonal antibodies and other biologics.</w:t>
      </w:r>
    </w:p>
    <w:p w14:paraId="7088C51B" w14:textId="77777777" w:rsidR="002E44AC" w:rsidRDefault="00000000">
      <w:pPr>
        <w:pStyle w:val="Heading2"/>
      </w:pPr>
      <w:r>
        <w:t>Small Molecule vs. Biologic</w:t>
      </w:r>
    </w:p>
    <w:p w14:paraId="49FE9871" w14:textId="77777777" w:rsidR="002E44AC" w:rsidRDefault="00000000">
      <w:pPr>
        <w:pStyle w:val="Heading3"/>
      </w:pPr>
      <w:r>
        <w:t>Small Molecules:</w:t>
      </w:r>
    </w:p>
    <w:p w14:paraId="472AF5CD" w14:textId="77777777" w:rsidR="002E44AC" w:rsidRDefault="00000000">
      <w:r>
        <w:t>Definition: Low molecular weight compounds that can easily enter cells and interact with intracellular targets.</w:t>
      </w:r>
    </w:p>
    <w:p w14:paraId="56248FA4" w14:textId="77777777" w:rsidR="002E44AC" w:rsidRDefault="00000000">
      <w:r>
        <w:t>Synthesis: Typically synthesized chemically and can be administered orally.</w:t>
      </w:r>
    </w:p>
    <w:p w14:paraId="53A75C12" w14:textId="77777777" w:rsidR="002E44AC" w:rsidRDefault="00000000">
      <w:r>
        <w:t>Regulation: Regulated by the FDA's Center for Drug Evaluation and Research (CDER).</w:t>
      </w:r>
    </w:p>
    <w:p w14:paraId="5684020B" w14:textId="77777777" w:rsidR="002E44AC" w:rsidRDefault="00000000">
      <w:pPr>
        <w:pStyle w:val="Heading3"/>
      </w:pPr>
      <w:r>
        <w:t>Biologics:</w:t>
      </w:r>
    </w:p>
    <w:p w14:paraId="214F423B" w14:textId="77777777" w:rsidR="002E44AC" w:rsidRDefault="00000000">
      <w:r>
        <w:t>Definition: Large, complex molecules derived from living organisms, including proteins, antibodies, and vaccines.</w:t>
      </w:r>
    </w:p>
    <w:p w14:paraId="78AC89ED" w14:textId="77777777" w:rsidR="002E44AC" w:rsidRDefault="00000000">
      <w:r>
        <w:t>Administration: Usually administered via injection or infusion due to their size and complexity.</w:t>
      </w:r>
    </w:p>
    <w:p w14:paraId="0E3447A8" w14:textId="77777777" w:rsidR="002E44AC" w:rsidRDefault="00000000">
      <w:r>
        <w:t>Regulation: Regulated by the FDA's Center for Biologics Evaluation and Research (CBER).</w:t>
      </w:r>
    </w:p>
    <w:p w14:paraId="06ADA392" w14:textId="77777777" w:rsidR="002E44AC" w:rsidRDefault="00000000">
      <w:pPr>
        <w:pStyle w:val="Heading3"/>
      </w:pPr>
      <w:r>
        <w:t>Gene/Cell Therapy:</w:t>
      </w:r>
    </w:p>
    <w:p w14:paraId="4E68B99B" w14:textId="77777777" w:rsidR="002E44AC" w:rsidRDefault="00000000">
      <w:r>
        <w:t>Definition: Involves modifying or manipulating genetic material or cells to treat or cure diseases.</w:t>
      </w:r>
    </w:p>
    <w:p w14:paraId="22A55789" w14:textId="77777777" w:rsidR="002E44AC" w:rsidRDefault="00000000">
      <w:r>
        <w:t>Regulation: Also regulated by CBER due to their biological nature and complexity.</w:t>
      </w:r>
    </w:p>
    <w:sectPr w:rsidR="002E44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345710">
    <w:abstractNumId w:val="8"/>
  </w:num>
  <w:num w:numId="2" w16cid:durableId="2061903355">
    <w:abstractNumId w:val="6"/>
  </w:num>
  <w:num w:numId="3" w16cid:durableId="93716754">
    <w:abstractNumId w:val="5"/>
  </w:num>
  <w:num w:numId="4" w16cid:durableId="1859535895">
    <w:abstractNumId w:val="4"/>
  </w:num>
  <w:num w:numId="5" w16cid:durableId="475804719">
    <w:abstractNumId w:val="7"/>
  </w:num>
  <w:num w:numId="6" w16cid:durableId="978026333">
    <w:abstractNumId w:val="3"/>
  </w:num>
  <w:num w:numId="7" w16cid:durableId="1425105359">
    <w:abstractNumId w:val="2"/>
  </w:num>
  <w:num w:numId="8" w16cid:durableId="1450516425">
    <w:abstractNumId w:val="1"/>
  </w:num>
  <w:num w:numId="9" w16cid:durableId="184897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4AC"/>
    <w:rsid w:val="00326F90"/>
    <w:rsid w:val="003614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1B8046"/>
  <w14:defaultImageDpi w14:val="300"/>
  <w15:docId w15:val="{DF2442C2-5A4D-4816-9228-9D05CAA65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5128</Characters>
  <Application>Microsoft Office Word</Application>
  <DocSecurity>0</DocSecurity>
  <Lines>98</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bryan.blair@gqrgm.com</dc:creator>
  <cp:keywords/>
  <dc:description>generated by python-docx</dc:description>
  <cp:lastModifiedBy>Bryan Blair</cp:lastModifiedBy>
  <cp:revision>2</cp:revision>
  <dcterms:created xsi:type="dcterms:W3CDTF">2024-05-23T16:00:00Z</dcterms:created>
  <dcterms:modified xsi:type="dcterms:W3CDTF">2024-05-23T16:00:00Z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d955863c477d6301f453fa8428a3cffb75f5afb266ffb7c80a209aa5250f9697</vt:lpwstr>
  </property>
</Properties>
</file>