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413F2" w14:textId="779CBF37" w:rsidR="00F0242E" w:rsidRPr="00904F43" w:rsidRDefault="00F0242E" w:rsidP="00F0242E">
      <w:pPr>
        <w:spacing w:after="0"/>
        <w:rPr>
          <w:sz w:val="22"/>
          <w:szCs w:val="22"/>
          <w:lang w:val="es-ES"/>
        </w:rPr>
      </w:pPr>
      <w:r w:rsidRPr="00904F43">
        <w:rPr>
          <w:sz w:val="22"/>
          <w:szCs w:val="22"/>
          <w:lang w:val="es-ES"/>
        </w:rPr>
        <w:t>Lam Nguyen</w:t>
      </w:r>
      <w:r w:rsidR="00E724C9" w:rsidRPr="00904F43">
        <w:rPr>
          <w:sz w:val="22"/>
          <w:szCs w:val="22"/>
          <w:lang w:val="es-ES"/>
        </w:rPr>
        <w:t>, M.D.</w:t>
      </w:r>
    </w:p>
    <w:p w14:paraId="3B3F6DE8" w14:textId="6944D94D" w:rsidR="00F0242E" w:rsidRPr="00904F43" w:rsidRDefault="007E2757" w:rsidP="00F0242E">
      <w:pPr>
        <w:spacing w:after="0"/>
        <w:rPr>
          <w:sz w:val="22"/>
          <w:szCs w:val="22"/>
          <w:lang w:val="es-ES"/>
        </w:rPr>
      </w:pPr>
      <w:hyperlink r:id="rId5" w:history="1">
        <w:r w:rsidR="00F0242E" w:rsidRPr="00904F43">
          <w:rPr>
            <w:rStyle w:val="Hyperlink"/>
            <w:sz w:val="22"/>
            <w:szCs w:val="22"/>
            <w:lang w:val="es-ES"/>
          </w:rPr>
          <w:t>Discoverjoy77@gmail.com</w:t>
        </w:r>
      </w:hyperlink>
    </w:p>
    <w:p w14:paraId="4691EF97" w14:textId="3A8BAA15" w:rsidR="00F0242E" w:rsidRPr="00904F43" w:rsidRDefault="00F0242E" w:rsidP="00F0242E">
      <w:pPr>
        <w:spacing w:after="0"/>
        <w:rPr>
          <w:sz w:val="22"/>
          <w:szCs w:val="22"/>
          <w:lang w:val="es-ES"/>
        </w:rPr>
      </w:pPr>
      <w:r w:rsidRPr="00904F43">
        <w:rPr>
          <w:sz w:val="22"/>
          <w:szCs w:val="22"/>
          <w:lang w:val="es-ES"/>
        </w:rPr>
        <w:t>714-317-6137</w:t>
      </w:r>
    </w:p>
    <w:p w14:paraId="39C20C77" w14:textId="3773E503" w:rsidR="00F0242E" w:rsidRPr="00904F43" w:rsidRDefault="00904F43" w:rsidP="00F0242E">
      <w:pPr>
        <w:spacing w:after="0"/>
        <w:rPr>
          <w:sz w:val="22"/>
          <w:szCs w:val="22"/>
          <w:lang w:val="es-ES"/>
        </w:rPr>
      </w:pPr>
      <w:proofErr w:type="spellStart"/>
      <w:r>
        <w:rPr>
          <w:sz w:val="22"/>
          <w:szCs w:val="22"/>
          <w:lang w:val="es-ES"/>
        </w:rPr>
        <w:t>November</w:t>
      </w:r>
      <w:proofErr w:type="spellEnd"/>
      <w:r>
        <w:rPr>
          <w:sz w:val="22"/>
          <w:szCs w:val="22"/>
          <w:lang w:val="es-ES"/>
        </w:rPr>
        <w:t xml:space="preserve"> 4</w:t>
      </w:r>
      <w:r w:rsidR="00F0242E" w:rsidRPr="00904F43">
        <w:rPr>
          <w:sz w:val="22"/>
          <w:szCs w:val="22"/>
          <w:lang w:val="es-ES"/>
        </w:rPr>
        <w:t>, 2024</w:t>
      </w:r>
    </w:p>
    <w:p w14:paraId="634AE710" w14:textId="77777777" w:rsidR="00904F43" w:rsidRDefault="00904F43" w:rsidP="00940571">
      <w:pPr>
        <w:spacing w:before="240"/>
        <w:rPr>
          <w:sz w:val="22"/>
          <w:szCs w:val="22"/>
        </w:rPr>
      </w:pPr>
      <w:r w:rsidRPr="00904F43">
        <w:rPr>
          <w:sz w:val="22"/>
          <w:szCs w:val="22"/>
        </w:rPr>
        <w:t>Viridian Therapeutics</w:t>
      </w:r>
      <w:r w:rsidRPr="00EA7B66">
        <w:rPr>
          <w:sz w:val="22"/>
          <w:szCs w:val="22"/>
        </w:rPr>
        <w:t xml:space="preserve"> </w:t>
      </w:r>
    </w:p>
    <w:p w14:paraId="62C0E41D" w14:textId="2B2FC951" w:rsidR="00EA7B66" w:rsidRDefault="00EA7B66" w:rsidP="00940571">
      <w:pPr>
        <w:spacing w:before="240"/>
        <w:rPr>
          <w:sz w:val="22"/>
          <w:szCs w:val="22"/>
        </w:rPr>
      </w:pPr>
      <w:r w:rsidRPr="00EA7B66">
        <w:rPr>
          <w:sz w:val="22"/>
          <w:szCs w:val="22"/>
        </w:rPr>
        <w:t>Dear Hiring Manager,</w:t>
      </w:r>
    </w:p>
    <w:p w14:paraId="6F97CB25" w14:textId="3AFA3D41" w:rsidR="00904F43" w:rsidRPr="00904F43" w:rsidRDefault="00904F43" w:rsidP="00904F43">
      <w:pPr>
        <w:spacing w:before="240"/>
        <w:rPr>
          <w:sz w:val="22"/>
          <w:szCs w:val="22"/>
        </w:rPr>
      </w:pPr>
      <w:r w:rsidRPr="00904F43">
        <w:rPr>
          <w:sz w:val="22"/>
          <w:szCs w:val="22"/>
        </w:rPr>
        <w:t>I am writing to express my enthusiasm for the Medical Director/Sr Medical Director, Drug Safety &amp; Pharmacovigilance position at Viridian Therapeutics. With over 13 years of experience in clinical care</w:t>
      </w:r>
      <w:r>
        <w:rPr>
          <w:sz w:val="22"/>
          <w:szCs w:val="22"/>
        </w:rPr>
        <w:t xml:space="preserve">, medical consulting for rare diseases, </w:t>
      </w:r>
      <w:r w:rsidRPr="00904F43">
        <w:rPr>
          <w:sz w:val="22"/>
          <w:szCs w:val="22"/>
        </w:rPr>
        <w:t>and extensive clinical research expertise</w:t>
      </w:r>
      <w:r>
        <w:rPr>
          <w:sz w:val="22"/>
          <w:szCs w:val="22"/>
        </w:rPr>
        <w:t xml:space="preserve"> with</w:t>
      </w:r>
      <w:r w:rsidRPr="00904F43">
        <w:rPr>
          <w:sz w:val="22"/>
          <w:szCs w:val="22"/>
        </w:rPr>
        <w:t xml:space="preserve"> a strong focus on pharmacovigilance and drug safety, I am excited about the opportunity to contribute to your mission of developing innovative therapies for autoimmune and rare diseases.</w:t>
      </w:r>
    </w:p>
    <w:p w14:paraId="2D59349E" w14:textId="39A493F1" w:rsidR="00904F43" w:rsidRPr="00904F43" w:rsidRDefault="00904F43" w:rsidP="00904F43">
      <w:pPr>
        <w:spacing w:before="240"/>
        <w:rPr>
          <w:sz w:val="22"/>
          <w:szCs w:val="22"/>
        </w:rPr>
      </w:pPr>
      <w:r w:rsidRPr="00904F43">
        <w:rPr>
          <w:sz w:val="22"/>
          <w:szCs w:val="22"/>
        </w:rPr>
        <w:t>In my current role as Medical Director and Head of Pharmacovigilance at Vaxart, I have</w:t>
      </w:r>
      <w:r w:rsidR="00152823">
        <w:rPr>
          <w:sz w:val="22"/>
          <w:szCs w:val="22"/>
        </w:rPr>
        <w:t xml:space="preserve"> </w:t>
      </w:r>
      <w:r w:rsidR="00152823" w:rsidRPr="00EA7B66">
        <w:rPr>
          <w:sz w:val="22"/>
          <w:szCs w:val="22"/>
        </w:rPr>
        <w:t>actively engaged in the design, execution, and analysis of clinical trials, particularly in early-phase studies, where I have gained valuable insights into trial design</w:t>
      </w:r>
      <w:r w:rsidR="00802F48">
        <w:rPr>
          <w:sz w:val="22"/>
          <w:szCs w:val="22"/>
        </w:rPr>
        <w:t>.  Additionally, I have</w:t>
      </w:r>
      <w:r w:rsidRPr="00904F43">
        <w:rPr>
          <w:sz w:val="22"/>
          <w:szCs w:val="22"/>
        </w:rPr>
        <w:t xml:space="preserve"> led core safety activities, including signal detection, risk assessment, and safety data interpretation for ongoing clinical trials. My experience in aggregate safety reporting and my thorough understanding of FDA, EMA, and ICH guidelines have equipped me to make data-driven decisions that ensure patient safety and regulatory compliance. I have also actively participated in preparing regulatory submissions, including INDs and DSURs, which has refined my ability to analyze complex clinical data and contribute to critical decisions.</w:t>
      </w:r>
    </w:p>
    <w:p w14:paraId="074D9945" w14:textId="77777777" w:rsidR="00220A75" w:rsidRDefault="005B6DC9" w:rsidP="00904F43">
      <w:pPr>
        <w:spacing w:before="240"/>
        <w:rPr>
          <w:sz w:val="22"/>
          <w:szCs w:val="22"/>
        </w:rPr>
      </w:pPr>
      <w:r>
        <w:rPr>
          <w:sz w:val="22"/>
          <w:szCs w:val="22"/>
        </w:rPr>
        <w:t xml:space="preserve">Furthermore, </w:t>
      </w:r>
      <w:r w:rsidR="00904F43" w:rsidRPr="00904F43">
        <w:rPr>
          <w:sz w:val="22"/>
          <w:szCs w:val="22"/>
        </w:rPr>
        <w:t xml:space="preserve">I have successfully collaborated with cross-functional teams, including clinical </w:t>
      </w:r>
      <w:r w:rsidR="00202E93">
        <w:rPr>
          <w:sz w:val="22"/>
          <w:szCs w:val="22"/>
        </w:rPr>
        <w:t>operations</w:t>
      </w:r>
      <w:r w:rsidR="00904F43" w:rsidRPr="00904F43">
        <w:rPr>
          <w:sz w:val="22"/>
          <w:szCs w:val="22"/>
        </w:rPr>
        <w:t>, biostatistics,</w:t>
      </w:r>
      <w:r w:rsidR="003A1C8B">
        <w:rPr>
          <w:sz w:val="22"/>
          <w:szCs w:val="22"/>
        </w:rPr>
        <w:t xml:space="preserve"> regulatory affairs,</w:t>
      </w:r>
      <w:r w:rsidR="00202E93">
        <w:rPr>
          <w:sz w:val="22"/>
          <w:szCs w:val="22"/>
        </w:rPr>
        <w:t xml:space="preserve"> research and development,</w:t>
      </w:r>
      <w:r w:rsidR="00904F43" w:rsidRPr="00904F43">
        <w:rPr>
          <w:sz w:val="22"/>
          <w:szCs w:val="22"/>
        </w:rPr>
        <w:t xml:space="preserve"> and medical affairs. This collaboration has allowed me to integrate safety considerations into clinical strategies effectively, ensuring that safety profiles are robust and well-documented.</w:t>
      </w:r>
      <w:r w:rsidR="003A79F0">
        <w:rPr>
          <w:sz w:val="22"/>
          <w:szCs w:val="22"/>
        </w:rPr>
        <w:t xml:space="preserve"> </w:t>
      </w:r>
      <w:r w:rsidR="003A79F0" w:rsidRPr="00EA7B66">
        <w:rPr>
          <w:sz w:val="22"/>
          <w:szCs w:val="22"/>
        </w:rPr>
        <w:t>This experience has not only sharpened my project management skills but also deepened my understanding of the complexities involved in drug development.</w:t>
      </w:r>
      <w:r w:rsidR="003A79F0">
        <w:rPr>
          <w:sz w:val="22"/>
          <w:szCs w:val="22"/>
        </w:rPr>
        <w:t xml:space="preserve"> </w:t>
      </w:r>
      <w:r w:rsidR="00904F43" w:rsidRPr="00904F43">
        <w:rPr>
          <w:sz w:val="22"/>
          <w:szCs w:val="22"/>
        </w:rPr>
        <w:t xml:space="preserve"> </w:t>
      </w:r>
    </w:p>
    <w:p w14:paraId="61DDE719" w14:textId="170EEF8F" w:rsidR="00904F43" w:rsidRPr="00904F43" w:rsidRDefault="00904F43" w:rsidP="00904F43">
      <w:pPr>
        <w:spacing w:before="240"/>
        <w:rPr>
          <w:sz w:val="22"/>
          <w:szCs w:val="22"/>
        </w:rPr>
      </w:pPr>
      <w:r w:rsidRPr="00904F43">
        <w:rPr>
          <w:sz w:val="22"/>
          <w:szCs w:val="22"/>
        </w:rPr>
        <w:t>I am particularly drawn to Viridian’s commitment to transparency and open communication, as I believe these values are essential for fostering a culture of collaboration and innovation.</w:t>
      </w:r>
      <w:r w:rsidR="00F25582">
        <w:rPr>
          <w:sz w:val="22"/>
          <w:szCs w:val="22"/>
        </w:rPr>
        <w:t xml:space="preserve">  </w:t>
      </w:r>
      <w:r w:rsidRPr="00904F43">
        <w:rPr>
          <w:sz w:val="22"/>
          <w:szCs w:val="22"/>
        </w:rPr>
        <w:t>I am eager to leverage my expertise in drug safety and my strategic approach to enhance the safety monitoring processes at Viridian. I am confident that my proactive training initiatives and ability to provide medical guidance will contribute to improving data quality and safety assessments within your organization.</w:t>
      </w:r>
      <w:r w:rsidR="00FD2DB9">
        <w:rPr>
          <w:sz w:val="22"/>
          <w:szCs w:val="22"/>
        </w:rPr>
        <w:t xml:space="preserve">  </w:t>
      </w:r>
      <w:r w:rsidRPr="00904F43">
        <w:rPr>
          <w:sz w:val="22"/>
          <w:szCs w:val="22"/>
        </w:rPr>
        <w:t>Thank you for considering my application. I look forward to the opportunity to discuss how my experience in pharmacovigilance and my dedication to advancing patient safety align with the goals of Viridian Therapeutics.</w:t>
      </w:r>
    </w:p>
    <w:p w14:paraId="5B4B1293" w14:textId="77777777" w:rsidR="00EA7B66" w:rsidRDefault="00EA7B66" w:rsidP="00940571">
      <w:pPr>
        <w:spacing w:after="0"/>
        <w:rPr>
          <w:sz w:val="22"/>
          <w:szCs w:val="22"/>
        </w:rPr>
      </w:pPr>
      <w:r w:rsidRPr="00EA7B66">
        <w:rPr>
          <w:sz w:val="22"/>
          <w:szCs w:val="22"/>
        </w:rPr>
        <w:t>Sincerely,</w:t>
      </w:r>
    </w:p>
    <w:p w14:paraId="652C32E6" w14:textId="3629883E" w:rsidR="00940571" w:rsidRDefault="00940571" w:rsidP="00940571">
      <w:pPr>
        <w:spacing w:after="0"/>
        <w:rPr>
          <w:sz w:val="22"/>
          <w:szCs w:val="22"/>
        </w:rPr>
      </w:pPr>
      <w:r>
        <w:rPr>
          <w:sz w:val="22"/>
          <w:szCs w:val="22"/>
        </w:rPr>
        <w:t>Lam Nguyen</w:t>
      </w:r>
    </w:p>
    <w:p w14:paraId="23A15206" w14:textId="629A83B6" w:rsidR="00A3339C" w:rsidRDefault="00A3339C" w:rsidP="00940571">
      <w:pPr>
        <w:spacing w:after="0"/>
        <w:rPr>
          <w:sz w:val="22"/>
          <w:szCs w:val="22"/>
        </w:rPr>
      </w:pPr>
      <w:r>
        <w:rPr>
          <w:sz w:val="22"/>
          <w:szCs w:val="22"/>
        </w:rPr>
        <w:lastRenderedPageBreak/>
        <w:t>Lam Nguyen’s Responses</w:t>
      </w:r>
    </w:p>
    <w:p w14:paraId="301A302C" w14:textId="77777777" w:rsidR="00FC4269" w:rsidRDefault="00FC4269" w:rsidP="00940571">
      <w:pPr>
        <w:spacing w:after="0"/>
        <w:rPr>
          <w:sz w:val="22"/>
          <w:szCs w:val="22"/>
        </w:rPr>
      </w:pPr>
    </w:p>
    <w:p w14:paraId="4D5572F6" w14:textId="536132EC" w:rsidR="002C1246" w:rsidRPr="005B3924" w:rsidRDefault="005B3924" w:rsidP="005B3924">
      <w:pPr>
        <w:spacing w:after="0"/>
        <w:rPr>
          <w:b/>
          <w:bCs/>
          <w:sz w:val="22"/>
          <w:szCs w:val="22"/>
        </w:rPr>
      </w:pPr>
      <w:r w:rsidRPr="005B3924">
        <w:rPr>
          <w:b/>
          <w:bCs/>
          <w:sz w:val="22"/>
          <w:szCs w:val="22"/>
        </w:rPr>
        <w:t>1.</w:t>
      </w:r>
      <w:r>
        <w:rPr>
          <w:b/>
          <w:bCs/>
          <w:sz w:val="22"/>
          <w:szCs w:val="22"/>
        </w:rPr>
        <w:t xml:space="preserve"> </w:t>
      </w:r>
      <w:r w:rsidR="00FC4269" w:rsidRPr="005B3924">
        <w:rPr>
          <w:b/>
          <w:bCs/>
          <w:sz w:val="22"/>
          <w:szCs w:val="22"/>
        </w:rPr>
        <w:t xml:space="preserve">Can you describe the last time you had to retrain a CRO medical reviewer? </w:t>
      </w:r>
    </w:p>
    <w:p w14:paraId="734F2348" w14:textId="102E6AD1" w:rsidR="00FC4269" w:rsidRPr="00FC4269" w:rsidRDefault="00FC4269" w:rsidP="00FC4269">
      <w:pPr>
        <w:spacing w:after="0"/>
        <w:rPr>
          <w:sz w:val="22"/>
          <w:szCs w:val="22"/>
        </w:rPr>
      </w:pPr>
      <w:r w:rsidRPr="00FC4269">
        <w:rPr>
          <w:sz w:val="22"/>
          <w:szCs w:val="22"/>
        </w:rPr>
        <w:t>In a recent project, I identified several areas where the CRO’s medical review team required targeted retraining to enhance data quality and safety assessments. One key issue was the in</w:t>
      </w:r>
      <w:r w:rsidR="008B53D6">
        <w:rPr>
          <w:sz w:val="22"/>
          <w:szCs w:val="22"/>
        </w:rPr>
        <w:t xml:space="preserve">correct </w:t>
      </w:r>
      <w:r w:rsidRPr="00FC4269">
        <w:rPr>
          <w:sz w:val="22"/>
          <w:szCs w:val="22"/>
        </w:rPr>
        <w:t>evaluation of vital sign assessments</w:t>
      </w:r>
      <w:r w:rsidR="003E519F">
        <w:rPr>
          <w:sz w:val="22"/>
          <w:szCs w:val="22"/>
        </w:rPr>
        <w:t xml:space="preserve"> (ignoring vital signs that toxicity grade</w:t>
      </w:r>
      <w:r w:rsidR="002521C9">
        <w:rPr>
          <w:sz w:val="22"/>
          <w:szCs w:val="22"/>
        </w:rPr>
        <w:t xml:space="preserve"> 3 in severity that was assessed to be </w:t>
      </w:r>
      <w:r w:rsidR="002F0AE5">
        <w:rPr>
          <w:sz w:val="22"/>
          <w:szCs w:val="22"/>
        </w:rPr>
        <w:t>clinically</w:t>
      </w:r>
      <w:r w:rsidR="002521C9">
        <w:rPr>
          <w:sz w:val="22"/>
          <w:szCs w:val="22"/>
        </w:rPr>
        <w:t xml:space="preserve"> significant)</w:t>
      </w:r>
      <w:r w:rsidRPr="00FC4269">
        <w:rPr>
          <w:sz w:val="22"/>
          <w:szCs w:val="22"/>
        </w:rPr>
        <w:t>. This not only affected the study’s safety profile but also raised concerns regarding the investigators' judgment in enrolling subjects</w:t>
      </w:r>
      <w:r w:rsidR="00F077DB">
        <w:rPr>
          <w:sz w:val="22"/>
          <w:szCs w:val="22"/>
        </w:rPr>
        <w:t xml:space="preserve"> and the ability of the medical reviewer to assess for safety signals</w:t>
      </w:r>
      <w:r w:rsidRPr="00FC4269">
        <w:rPr>
          <w:sz w:val="22"/>
          <w:szCs w:val="22"/>
        </w:rPr>
        <w:t xml:space="preserve">. To address this, I conducted focused training sessions to ensure that reviewers could accurately interpret these metrics, </w:t>
      </w:r>
      <w:r w:rsidR="002F0AE5">
        <w:rPr>
          <w:sz w:val="22"/>
          <w:szCs w:val="22"/>
        </w:rPr>
        <w:t xml:space="preserve">prompted the medical reviewer to raise queries in EDC to gather more information, and </w:t>
      </w:r>
      <w:r w:rsidRPr="00FC4269">
        <w:rPr>
          <w:sz w:val="22"/>
          <w:szCs w:val="22"/>
        </w:rPr>
        <w:t>thereby supporting appropriate eligibility determinations by principal investigators</w:t>
      </w:r>
      <w:r w:rsidR="00F077DB">
        <w:rPr>
          <w:sz w:val="22"/>
          <w:szCs w:val="22"/>
        </w:rPr>
        <w:t xml:space="preserve"> and proper evaluation of abnormal vital signs</w:t>
      </w:r>
      <w:r w:rsidRPr="00FC4269">
        <w:rPr>
          <w:sz w:val="22"/>
          <w:szCs w:val="22"/>
        </w:rPr>
        <w:t xml:space="preserve">. </w:t>
      </w:r>
    </w:p>
    <w:p w14:paraId="5B6A5CC3" w14:textId="77777777" w:rsidR="00F560C7" w:rsidRDefault="00F560C7" w:rsidP="00FC4269">
      <w:pPr>
        <w:spacing w:after="0"/>
        <w:rPr>
          <w:sz w:val="22"/>
          <w:szCs w:val="22"/>
        </w:rPr>
      </w:pPr>
    </w:p>
    <w:p w14:paraId="3E097E49" w14:textId="4B22E76F" w:rsidR="00FC4269" w:rsidRDefault="00FC4269" w:rsidP="00FC4269">
      <w:pPr>
        <w:spacing w:after="0"/>
        <w:rPr>
          <w:sz w:val="22"/>
          <w:szCs w:val="22"/>
        </w:rPr>
      </w:pPr>
      <w:r w:rsidRPr="00FC4269">
        <w:rPr>
          <w:sz w:val="22"/>
          <w:szCs w:val="22"/>
        </w:rPr>
        <w:t xml:space="preserve">One area that commonly required </w:t>
      </w:r>
      <w:proofErr w:type="spellStart"/>
      <w:r w:rsidR="00F560C7">
        <w:rPr>
          <w:sz w:val="22"/>
          <w:szCs w:val="22"/>
        </w:rPr>
        <w:t>retrainingg</w:t>
      </w:r>
      <w:proofErr w:type="spellEnd"/>
      <w:r w:rsidR="00F560C7">
        <w:rPr>
          <w:sz w:val="22"/>
          <w:szCs w:val="22"/>
        </w:rPr>
        <w:t xml:space="preserve"> medical reviewers</w:t>
      </w:r>
      <w:r w:rsidRPr="00FC4269">
        <w:rPr>
          <w:sz w:val="22"/>
          <w:szCs w:val="22"/>
        </w:rPr>
        <w:t xml:space="preserve"> across multiple studies was the classification and grading of solicited symptoms of reactogenicity during the week following </w:t>
      </w:r>
      <w:r w:rsidR="004748B4">
        <w:rPr>
          <w:sz w:val="22"/>
          <w:szCs w:val="22"/>
        </w:rPr>
        <w:t>vaccination</w:t>
      </w:r>
      <w:r w:rsidRPr="00FC4269">
        <w:rPr>
          <w:sz w:val="22"/>
          <w:szCs w:val="22"/>
        </w:rPr>
        <w:t xml:space="preserve">. Specifically, it was crucial to understand when these symptoms constituted Unexpected Adverse Events (UAEs) and when a causality assessment was necessary. This aspect proved to be surprisingly challenging for several CRO medical </w:t>
      </w:r>
      <w:r w:rsidR="004748B4">
        <w:rPr>
          <w:sz w:val="22"/>
          <w:szCs w:val="22"/>
        </w:rPr>
        <w:t>reviewer</w:t>
      </w:r>
      <w:r w:rsidRPr="00FC4269">
        <w:rPr>
          <w:sz w:val="22"/>
          <w:szCs w:val="22"/>
        </w:rPr>
        <w:t xml:space="preserve">s. To address this, I allocated time during </w:t>
      </w:r>
      <w:r w:rsidR="008125A9">
        <w:rPr>
          <w:sz w:val="22"/>
          <w:szCs w:val="22"/>
        </w:rPr>
        <w:t xml:space="preserve">the SIV training </w:t>
      </w:r>
      <w:proofErr w:type="gramStart"/>
      <w:r w:rsidR="008125A9">
        <w:rPr>
          <w:sz w:val="22"/>
          <w:szCs w:val="22"/>
        </w:rPr>
        <w:t>and also</w:t>
      </w:r>
      <w:proofErr w:type="gramEnd"/>
      <w:r w:rsidR="008125A9">
        <w:rPr>
          <w:sz w:val="22"/>
          <w:szCs w:val="22"/>
        </w:rPr>
        <w:t xml:space="preserve"> during </w:t>
      </w:r>
      <w:r w:rsidRPr="00FC4269">
        <w:rPr>
          <w:sz w:val="22"/>
          <w:szCs w:val="22"/>
        </w:rPr>
        <w:t xml:space="preserve">early medical monitor meetings to provide comprehensive training, including multiple examples, to ensure that medical reviewers fully grasped this critical information </w:t>
      </w:r>
      <w:r w:rsidR="008125A9">
        <w:rPr>
          <w:sz w:val="22"/>
          <w:szCs w:val="22"/>
        </w:rPr>
        <w:t xml:space="preserve">as </w:t>
      </w:r>
      <w:r w:rsidRPr="00FC4269">
        <w:rPr>
          <w:sz w:val="22"/>
          <w:szCs w:val="22"/>
        </w:rPr>
        <w:t>early</w:t>
      </w:r>
      <w:r w:rsidR="008125A9">
        <w:rPr>
          <w:sz w:val="22"/>
          <w:szCs w:val="22"/>
        </w:rPr>
        <w:t xml:space="preserve"> as possible</w:t>
      </w:r>
      <w:r w:rsidRPr="00FC4269">
        <w:rPr>
          <w:sz w:val="22"/>
          <w:szCs w:val="22"/>
        </w:rPr>
        <w:t xml:space="preserve"> in the study.</w:t>
      </w:r>
    </w:p>
    <w:p w14:paraId="127B4405" w14:textId="77777777" w:rsidR="003C1190" w:rsidRPr="00FC4269" w:rsidRDefault="003C1190" w:rsidP="00FC4269">
      <w:pPr>
        <w:spacing w:after="0"/>
        <w:rPr>
          <w:sz w:val="22"/>
          <w:szCs w:val="22"/>
        </w:rPr>
      </w:pPr>
    </w:p>
    <w:p w14:paraId="0D3E9D8D" w14:textId="59B3752F" w:rsidR="00FC4269" w:rsidRDefault="00FC4269" w:rsidP="00FC4269">
      <w:pPr>
        <w:spacing w:after="0"/>
        <w:rPr>
          <w:sz w:val="22"/>
          <w:szCs w:val="22"/>
        </w:rPr>
      </w:pPr>
      <w:r w:rsidRPr="00FC4269">
        <w:rPr>
          <w:sz w:val="22"/>
          <w:szCs w:val="22"/>
        </w:rPr>
        <w:t xml:space="preserve">Additionally, I noticed variability in how reviewers classified protocol deviations for Vaxart’s studies. To address this, </w:t>
      </w:r>
      <w:r w:rsidR="003C1190">
        <w:rPr>
          <w:sz w:val="22"/>
          <w:szCs w:val="22"/>
        </w:rPr>
        <w:t>in addition to giving thoughtful</w:t>
      </w:r>
      <w:r w:rsidR="007A0D6D">
        <w:rPr>
          <w:sz w:val="22"/>
          <w:szCs w:val="22"/>
        </w:rPr>
        <w:t xml:space="preserve"> responses to the PD </w:t>
      </w:r>
      <w:proofErr w:type="gramStart"/>
      <w:r w:rsidR="007A0D6D">
        <w:rPr>
          <w:sz w:val="22"/>
          <w:szCs w:val="22"/>
        </w:rPr>
        <w:t xml:space="preserve">guidance, </w:t>
      </w:r>
      <w:r w:rsidRPr="00FC4269">
        <w:rPr>
          <w:sz w:val="22"/>
          <w:szCs w:val="22"/>
        </w:rPr>
        <w:t xml:space="preserve"> I</w:t>
      </w:r>
      <w:proofErr w:type="gramEnd"/>
      <w:r w:rsidRPr="00FC4269">
        <w:rPr>
          <w:sz w:val="22"/>
          <w:szCs w:val="22"/>
        </w:rPr>
        <w:t xml:space="preserve"> also have PD meetings with the medical reviewers during the study </w:t>
      </w:r>
      <w:r w:rsidR="007A0D6D">
        <w:rPr>
          <w:sz w:val="22"/>
          <w:szCs w:val="22"/>
        </w:rPr>
        <w:t>to discussion how to appropriately classify which PDs as</w:t>
      </w:r>
      <w:r w:rsidRPr="00FC4269">
        <w:rPr>
          <w:sz w:val="22"/>
          <w:szCs w:val="22"/>
        </w:rPr>
        <w:t xml:space="preserve"> minor </w:t>
      </w:r>
      <w:r w:rsidR="007A0D6D">
        <w:rPr>
          <w:sz w:val="22"/>
          <w:szCs w:val="22"/>
        </w:rPr>
        <w:t>or important</w:t>
      </w:r>
      <w:r w:rsidRPr="00FC4269">
        <w:rPr>
          <w:sz w:val="22"/>
          <w:szCs w:val="22"/>
        </w:rPr>
        <w:t>. This retraining was critical to ensure consistent reporting and maintain protocol compliance across sites.</w:t>
      </w:r>
    </w:p>
    <w:p w14:paraId="2C3E2974" w14:textId="77777777" w:rsidR="006664D8" w:rsidRPr="00FC4269" w:rsidRDefault="006664D8" w:rsidP="00FC4269">
      <w:pPr>
        <w:spacing w:after="0"/>
        <w:rPr>
          <w:sz w:val="22"/>
          <w:szCs w:val="22"/>
        </w:rPr>
      </w:pPr>
    </w:p>
    <w:p w14:paraId="362ED455" w14:textId="7D8BB483" w:rsidR="00FC4269" w:rsidRPr="00FC4269" w:rsidRDefault="00FC4269" w:rsidP="00FC4269">
      <w:pPr>
        <w:spacing w:after="0"/>
        <w:rPr>
          <w:sz w:val="22"/>
          <w:szCs w:val="22"/>
        </w:rPr>
      </w:pPr>
      <w:r w:rsidRPr="00FC4269">
        <w:rPr>
          <w:sz w:val="22"/>
          <w:szCs w:val="22"/>
        </w:rPr>
        <w:t>Additionally, during the transfer of</w:t>
      </w:r>
      <w:r w:rsidR="006664D8">
        <w:rPr>
          <w:sz w:val="22"/>
          <w:szCs w:val="22"/>
        </w:rPr>
        <w:t xml:space="preserve"> the</w:t>
      </w:r>
      <w:r w:rsidRPr="00FC4269">
        <w:rPr>
          <w:sz w:val="22"/>
          <w:szCs w:val="22"/>
        </w:rPr>
        <w:t xml:space="preserve"> safety data to Argus, I collaborated closely with both the medical reviewers and the IT team to customize the system in accordance with study specifications. I recognized the need to retrain the medical reviewers on the classification of adverse events, as several events could be categorized as Serious Adverse Events (SAEs), Adverse Events of Special Interest (AESIs), </w:t>
      </w:r>
      <w:r w:rsidR="003B5EB5">
        <w:rPr>
          <w:sz w:val="22"/>
          <w:szCs w:val="22"/>
        </w:rPr>
        <w:t>M</w:t>
      </w:r>
      <w:r w:rsidRPr="00FC4269">
        <w:rPr>
          <w:sz w:val="22"/>
          <w:szCs w:val="22"/>
        </w:rPr>
        <w:t xml:space="preserve">edically </w:t>
      </w:r>
      <w:r w:rsidR="003B5EB5">
        <w:rPr>
          <w:sz w:val="22"/>
          <w:szCs w:val="22"/>
        </w:rPr>
        <w:t>A</w:t>
      </w:r>
      <w:r w:rsidRPr="00FC4269">
        <w:rPr>
          <w:sz w:val="22"/>
          <w:szCs w:val="22"/>
        </w:rPr>
        <w:t xml:space="preserve">ttended </w:t>
      </w:r>
      <w:r w:rsidR="003B5EB5">
        <w:rPr>
          <w:sz w:val="22"/>
          <w:szCs w:val="22"/>
        </w:rPr>
        <w:t>A</w:t>
      </w:r>
      <w:r w:rsidRPr="00FC4269">
        <w:rPr>
          <w:sz w:val="22"/>
          <w:szCs w:val="22"/>
        </w:rPr>
        <w:t xml:space="preserve">dverse </w:t>
      </w:r>
      <w:r w:rsidR="003B5EB5">
        <w:rPr>
          <w:sz w:val="22"/>
          <w:szCs w:val="22"/>
        </w:rPr>
        <w:t>E</w:t>
      </w:r>
      <w:r w:rsidRPr="00FC4269">
        <w:rPr>
          <w:sz w:val="22"/>
          <w:szCs w:val="22"/>
        </w:rPr>
        <w:t>vents, or a combination of these c</w:t>
      </w:r>
      <w:r w:rsidR="003B5EB5">
        <w:rPr>
          <w:sz w:val="22"/>
          <w:szCs w:val="22"/>
        </w:rPr>
        <w:t>ategories</w:t>
      </w:r>
      <w:r w:rsidRPr="00FC4269">
        <w:rPr>
          <w:sz w:val="22"/>
          <w:szCs w:val="22"/>
        </w:rPr>
        <w:t xml:space="preserve">. Despite clear explanations in the protocol and safety management plan, there were instances where </w:t>
      </w:r>
      <w:r w:rsidR="003B5EB5">
        <w:rPr>
          <w:sz w:val="22"/>
          <w:szCs w:val="22"/>
        </w:rPr>
        <w:t xml:space="preserve">the </w:t>
      </w:r>
      <w:r w:rsidRPr="00FC4269">
        <w:rPr>
          <w:sz w:val="22"/>
          <w:szCs w:val="22"/>
        </w:rPr>
        <w:t xml:space="preserve">medical reviewers did not fully understand that not all AESIs meet the criteria for SAEs. This distinction was critical, as incorrect classification could significantly skew the safety profile of our product. </w:t>
      </w:r>
    </w:p>
    <w:p w14:paraId="3D949DDE" w14:textId="77777777" w:rsidR="00FC4269" w:rsidRPr="00FC4269" w:rsidRDefault="00FC4269" w:rsidP="00FC4269">
      <w:pPr>
        <w:spacing w:after="0"/>
        <w:rPr>
          <w:sz w:val="22"/>
          <w:szCs w:val="22"/>
        </w:rPr>
      </w:pPr>
      <w:r w:rsidRPr="00FC4269">
        <w:rPr>
          <w:sz w:val="22"/>
          <w:szCs w:val="22"/>
        </w:rPr>
        <w:t>Through these structured retraining efforts and targeted data management, I was able to enhance the performance of the CRO’s medical review team, reinforcing high standards for safety monitoring, protocol adherence, and overall data integrity."</w:t>
      </w:r>
    </w:p>
    <w:p w14:paraId="09791116" w14:textId="77777777" w:rsidR="00FC4269" w:rsidRPr="00FC4269" w:rsidRDefault="00FC4269" w:rsidP="00FC4269">
      <w:pPr>
        <w:spacing w:after="0"/>
        <w:rPr>
          <w:sz w:val="22"/>
          <w:szCs w:val="22"/>
        </w:rPr>
      </w:pPr>
    </w:p>
    <w:p w14:paraId="04913EC1" w14:textId="77777777" w:rsidR="00FC4269" w:rsidRPr="00FC4269" w:rsidRDefault="00FC4269" w:rsidP="00FC4269">
      <w:pPr>
        <w:spacing w:after="0"/>
        <w:rPr>
          <w:sz w:val="22"/>
          <w:szCs w:val="22"/>
        </w:rPr>
      </w:pPr>
    </w:p>
    <w:p w14:paraId="703ADBF0" w14:textId="52EB63F8" w:rsidR="00FC4269" w:rsidRDefault="005B3924" w:rsidP="00FC4269">
      <w:pPr>
        <w:spacing w:after="0"/>
        <w:rPr>
          <w:sz w:val="22"/>
          <w:szCs w:val="22"/>
        </w:rPr>
      </w:pPr>
      <w:r>
        <w:rPr>
          <w:b/>
          <w:bCs/>
          <w:sz w:val="22"/>
          <w:szCs w:val="22"/>
        </w:rPr>
        <w:t>2</w:t>
      </w:r>
      <w:r w:rsidR="00FC4269">
        <w:rPr>
          <w:b/>
          <w:bCs/>
          <w:sz w:val="22"/>
          <w:szCs w:val="22"/>
        </w:rPr>
        <w:t xml:space="preserve">. </w:t>
      </w:r>
      <w:r w:rsidR="00FC4269" w:rsidRPr="00FC4269">
        <w:rPr>
          <w:b/>
          <w:bCs/>
          <w:sz w:val="22"/>
          <w:szCs w:val="22"/>
        </w:rPr>
        <w:t xml:space="preserve">Can you give an example of a time when you had to use medical judgment to quickly resolve an issue ("right the ship") in a clinical trial? </w:t>
      </w:r>
    </w:p>
    <w:p w14:paraId="3A49FC6A" w14:textId="11B5383B" w:rsidR="00FC4269" w:rsidRDefault="00FC4269" w:rsidP="00FC4269">
      <w:pPr>
        <w:spacing w:after="0"/>
        <w:rPr>
          <w:sz w:val="22"/>
          <w:szCs w:val="22"/>
        </w:rPr>
      </w:pPr>
      <w:r w:rsidRPr="00FC4269">
        <w:rPr>
          <w:sz w:val="22"/>
          <w:szCs w:val="22"/>
        </w:rPr>
        <w:t>In a large-scale study, subjects were stratified by risk for severe COVID-19 based on specific medical conditions, following strict protocol guidelines. I received an urgent alert from Data Management (DM) indicating that an enrolled subject’s medical condition appeared to violate eligibility criteria, prompting immediate investigation. In a quick, ad hoc meeting with DM, we uncovered a broader issue: several subjects may have been misclassified, which raised serious concerns for both data integrity and protocol adherence.</w:t>
      </w:r>
    </w:p>
    <w:p w14:paraId="3B3AE126" w14:textId="77777777" w:rsidR="002C1246" w:rsidRPr="00FC4269" w:rsidRDefault="002C1246" w:rsidP="00FC4269">
      <w:pPr>
        <w:spacing w:after="0"/>
        <w:rPr>
          <w:sz w:val="22"/>
          <w:szCs w:val="22"/>
        </w:rPr>
      </w:pPr>
    </w:p>
    <w:p w14:paraId="43654B6B" w14:textId="77777777" w:rsidR="00FC4269" w:rsidRDefault="00FC4269" w:rsidP="00FC4269">
      <w:pPr>
        <w:spacing w:after="0"/>
        <w:rPr>
          <w:sz w:val="22"/>
          <w:szCs w:val="22"/>
        </w:rPr>
      </w:pPr>
      <w:r w:rsidRPr="00FC4269">
        <w:rPr>
          <w:sz w:val="22"/>
          <w:szCs w:val="22"/>
        </w:rPr>
        <w:t>Recognizing the potential impact, I quickly organized a focused meeting with the Clinical Trials Planning and Execution (CTPE) Contract Research Organization (CRO) and their DM team. Our aim was to pinpoint the root cause—whether it was due to programming errors, insufficient site training, or inconsistent assessments by investigators, particularly in cases where sub-investigators were involved in enrollment.</w:t>
      </w:r>
    </w:p>
    <w:p w14:paraId="0688D9E6" w14:textId="77777777" w:rsidR="002C1246" w:rsidRPr="00FC4269" w:rsidRDefault="002C1246" w:rsidP="00FC4269">
      <w:pPr>
        <w:spacing w:after="0"/>
        <w:rPr>
          <w:sz w:val="22"/>
          <w:szCs w:val="22"/>
        </w:rPr>
      </w:pPr>
    </w:p>
    <w:p w14:paraId="200B2AB4" w14:textId="20CEC3D7" w:rsidR="00FC4269" w:rsidRDefault="00FC4269" w:rsidP="00FC4269">
      <w:pPr>
        <w:spacing w:after="0"/>
        <w:rPr>
          <w:sz w:val="22"/>
          <w:szCs w:val="22"/>
        </w:rPr>
      </w:pPr>
      <w:r w:rsidRPr="00FC4269">
        <w:rPr>
          <w:sz w:val="22"/>
          <w:szCs w:val="22"/>
        </w:rPr>
        <w:t xml:space="preserve">In parallel, I conducted a separate review with the CRO’s Medical Monitor, digging into the details provided by DM. We identified that some investigators were treating the high-risk condition examples </w:t>
      </w:r>
      <w:r w:rsidR="009A32E7">
        <w:rPr>
          <w:sz w:val="22"/>
          <w:szCs w:val="22"/>
        </w:rPr>
        <w:t xml:space="preserve">provided in the protocol </w:t>
      </w:r>
      <w:r w:rsidRPr="00FC4269">
        <w:rPr>
          <w:sz w:val="22"/>
          <w:szCs w:val="22"/>
        </w:rPr>
        <w:t>as an exhaustive list rather than using clinical judgment as intended by the protocol.</w:t>
      </w:r>
    </w:p>
    <w:p w14:paraId="0AFDD2CF" w14:textId="77777777" w:rsidR="002C1246" w:rsidRPr="00FC4269" w:rsidRDefault="002C1246" w:rsidP="00FC4269">
      <w:pPr>
        <w:spacing w:after="0"/>
        <w:rPr>
          <w:sz w:val="22"/>
          <w:szCs w:val="22"/>
        </w:rPr>
      </w:pPr>
    </w:p>
    <w:p w14:paraId="67720545" w14:textId="7D579827" w:rsidR="00FC4269" w:rsidRDefault="00FC4269" w:rsidP="00FC4269">
      <w:pPr>
        <w:spacing w:after="0"/>
        <w:rPr>
          <w:sz w:val="22"/>
          <w:szCs w:val="22"/>
        </w:rPr>
      </w:pPr>
      <w:r w:rsidRPr="00FC4269">
        <w:rPr>
          <w:sz w:val="22"/>
          <w:szCs w:val="22"/>
        </w:rPr>
        <w:t>To correct this promptly, I drafted a clarification memo emphasizing the investigators’ responsibility to apply clinical judgment in stratifying participants. The memo provided clear guidance to ensure assessments aligned with the protocol's intent for accurate risk classification</w:t>
      </w:r>
      <w:r w:rsidR="00621B2A">
        <w:rPr>
          <w:sz w:val="22"/>
          <w:szCs w:val="22"/>
        </w:rPr>
        <w:t xml:space="preserve"> that should be based on the pathophysiology of the medical condition and not external factors</w:t>
      </w:r>
      <w:r w:rsidRPr="00FC4269">
        <w:rPr>
          <w:sz w:val="22"/>
          <w:szCs w:val="22"/>
        </w:rPr>
        <w:t>. I escalated the memo to my Chief Medical Officer (CMO) for approval</w:t>
      </w:r>
      <w:r w:rsidR="00C9172F">
        <w:rPr>
          <w:sz w:val="22"/>
          <w:szCs w:val="22"/>
        </w:rPr>
        <w:t xml:space="preserve"> with a phone call followed by an email</w:t>
      </w:r>
      <w:r w:rsidRPr="00FC4269">
        <w:rPr>
          <w:sz w:val="22"/>
          <w:szCs w:val="22"/>
        </w:rPr>
        <w:t>, ensuring alignment</w:t>
      </w:r>
      <w:r w:rsidR="00C9172F">
        <w:rPr>
          <w:sz w:val="22"/>
          <w:szCs w:val="22"/>
        </w:rPr>
        <w:t>, documentation,</w:t>
      </w:r>
      <w:r w:rsidRPr="00FC4269">
        <w:rPr>
          <w:sz w:val="22"/>
          <w:szCs w:val="22"/>
        </w:rPr>
        <w:t xml:space="preserve"> and endorsement from leadership.</w:t>
      </w:r>
    </w:p>
    <w:p w14:paraId="298D0574" w14:textId="77777777" w:rsidR="002C1246" w:rsidRPr="00FC4269" w:rsidRDefault="002C1246" w:rsidP="00FC4269">
      <w:pPr>
        <w:spacing w:after="0"/>
        <w:rPr>
          <w:sz w:val="22"/>
          <w:szCs w:val="22"/>
        </w:rPr>
      </w:pPr>
    </w:p>
    <w:p w14:paraId="1C4105A8" w14:textId="663E1430" w:rsidR="00FC4269" w:rsidRDefault="00FC4269" w:rsidP="00FC4269">
      <w:pPr>
        <w:spacing w:after="0"/>
        <w:rPr>
          <w:sz w:val="22"/>
          <w:szCs w:val="22"/>
        </w:rPr>
      </w:pPr>
      <w:r w:rsidRPr="00FC4269">
        <w:rPr>
          <w:sz w:val="22"/>
          <w:szCs w:val="22"/>
        </w:rPr>
        <w:t xml:space="preserve">With the CMO’s approval, I immediately disseminated the memo to the CRO vendor and my internal team. To reinforce this change and prevent recurrence, I initiated weekly cross-functional meetings between Clinical Operations, DM, and myself to review stratification listings. Additionally, I tasked the DM team to collaborate with the CRO’s DM team to further investigate all platforms </w:t>
      </w:r>
      <w:r w:rsidR="005204E4">
        <w:rPr>
          <w:sz w:val="22"/>
          <w:szCs w:val="22"/>
        </w:rPr>
        <w:t xml:space="preserve">and workflow </w:t>
      </w:r>
      <w:r w:rsidRPr="00FC4269">
        <w:rPr>
          <w:sz w:val="22"/>
          <w:szCs w:val="22"/>
        </w:rPr>
        <w:t>and verify the necessary corrections.</w:t>
      </w:r>
    </w:p>
    <w:p w14:paraId="67CD1CB3" w14:textId="77777777" w:rsidR="002C1246" w:rsidRPr="00FC4269" w:rsidRDefault="002C1246" w:rsidP="00FC4269">
      <w:pPr>
        <w:spacing w:after="0"/>
        <w:rPr>
          <w:sz w:val="22"/>
          <w:szCs w:val="22"/>
        </w:rPr>
      </w:pPr>
    </w:p>
    <w:p w14:paraId="0582AC7E" w14:textId="77777777" w:rsidR="00FC4269" w:rsidRPr="00FC4269" w:rsidRDefault="00FC4269" w:rsidP="00FC4269">
      <w:pPr>
        <w:spacing w:after="0"/>
        <w:rPr>
          <w:sz w:val="22"/>
          <w:szCs w:val="22"/>
        </w:rPr>
      </w:pPr>
      <w:r w:rsidRPr="00FC4269">
        <w:rPr>
          <w:sz w:val="22"/>
          <w:szCs w:val="22"/>
        </w:rPr>
        <w:t>While this process would typically take more than a week given the CRO’s standard procedures, I drove coordinated, immediate action, resolving the issue within a single day. This intervention ensured that patients were accurately stratified by pathophysiologic criteria as intended, preserving data integrity and participant safety.</w:t>
      </w:r>
    </w:p>
    <w:p w14:paraId="3B926963" w14:textId="77777777" w:rsidR="00FC4269" w:rsidRPr="00EA7B66" w:rsidRDefault="00FC4269" w:rsidP="00940571">
      <w:pPr>
        <w:spacing w:after="0"/>
        <w:rPr>
          <w:sz w:val="22"/>
          <w:szCs w:val="22"/>
        </w:rPr>
      </w:pPr>
    </w:p>
    <w:sectPr w:rsidR="00FC4269" w:rsidRPr="00EA7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E219CD"/>
    <w:multiLevelType w:val="multilevel"/>
    <w:tmpl w:val="FEC68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557A60"/>
    <w:multiLevelType w:val="hybridMultilevel"/>
    <w:tmpl w:val="DD081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D6099C"/>
    <w:multiLevelType w:val="multilevel"/>
    <w:tmpl w:val="96CEF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269218">
    <w:abstractNumId w:val="0"/>
  </w:num>
  <w:num w:numId="2" w16cid:durableId="1579435434">
    <w:abstractNumId w:val="2"/>
  </w:num>
  <w:num w:numId="3" w16cid:durableId="181435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42E"/>
    <w:rsid w:val="000743FF"/>
    <w:rsid w:val="00097ED0"/>
    <w:rsid w:val="000C6293"/>
    <w:rsid w:val="00152823"/>
    <w:rsid w:val="00176E8A"/>
    <w:rsid w:val="001F4EC3"/>
    <w:rsid w:val="00202E93"/>
    <w:rsid w:val="00220A75"/>
    <w:rsid w:val="00227894"/>
    <w:rsid w:val="00233A49"/>
    <w:rsid w:val="002521C9"/>
    <w:rsid w:val="002B3925"/>
    <w:rsid w:val="002C1246"/>
    <w:rsid w:val="002F0AE5"/>
    <w:rsid w:val="00316000"/>
    <w:rsid w:val="00325D25"/>
    <w:rsid w:val="003A1C8B"/>
    <w:rsid w:val="003A79F0"/>
    <w:rsid w:val="003B5EB5"/>
    <w:rsid w:val="003C1190"/>
    <w:rsid w:val="003D3666"/>
    <w:rsid w:val="003E519F"/>
    <w:rsid w:val="00414971"/>
    <w:rsid w:val="00450361"/>
    <w:rsid w:val="004748B4"/>
    <w:rsid w:val="004E44D7"/>
    <w:rsid w:val="004E7CB5"/>
    <w:rsid w:val="004F41A7"/>
    <w:rsid w:val="005204E4"/>
    <w:rsid w:val="00520669"/>
    <w:rsid w:val="00592AFC"/>
    <w:rsid w:val="005B3924"/>
    <w:rsid w:val="005B6DC9"/>
    <w:rsid w:val="00621B2A"/>
    <w:rsid w:val="006438E6"/>
    <w:rsid w:val="006664D8"/>
    <w:rsid w:val="006B7ABE"/>
    <w:rsid w:val="006C32AC"/>
    <w:rsid w:val="007015BE"/>
    <w:rsid w:val="007272C7"/>
    <w:rsid w:val="00762801"/>
    <w:rsid w:val="00795B5E"/>
    <w:rsid w:val="007974FD"/>
    <w:rsid w:val="007A0D6D"/>
    <w:rsid w:val="007D043E"/>
    <w:rsid w:val="007E2757"/>
    <w:rsid w:val="00802F48"/>
    <w:rsid w:val="008125A9"/>
    <w:rsid w:val="00813AB5"/>
    <w:rsid w:val="00814997"/>
    <w:rsid w:val="00861202"/>
    <w:rsid w:val="008B53D6"/>
    <w:rsid w:val="008D3641"/>
    <w:rsid w:val="00904F43"/>
    <w:rsid w:val="00940571"/>
    <w:rsid w:val="009A32E7"/>
    <w:rsid w:val="009B73F3"/>
    <w:rsid w:val="009E4106"/>
    <w:rsid w:val="00A3339C"/>
    <w:rsid w:val="00A921ED"/>
    <w:rsid w:val="00AC10B2"/>
    <w:rsid w:val="00AF6809"/>
    <w:rsid w:val="00B6612F"/>
    <w:rsid w:val="00B860C9"/>
    <w:rsid w:val="00C10A3F"/>
    <w:rsid w:val="00C427AC"/>
    <w:rsid w:val="00C9172F"/>
    <w:rsid w:val="00CC5C1E"/>
    <w:rsid w:val="00D14DB2"/>
    <w:rsid w:val="00D846B9"/>
    <w:rsid w:val="00E16E3D"/>
    <w:rsid w:val="00E724C9"/>
    <w:rsid w:val="00EA397D"/>
    <w:rsid w:val="00EA7B66"/>
    <w:rsid w:val="00ED794E"/>
    <w:rsid w:val="00F0242E"/>
    <w:rsid w:val="00F077DB"/>
    <w:rsid w:val="00F13BA4"/>
    <w:rsid w:val="00F25582"/>
    <w:rsid w:val="00F3413E"/>
    <w:rsid w:val="00F560C7"/>
    <w:rsid w:val="00F75F80"/>
    <w:rsid w:val="00F827A6"/>
    <w:rsid w:val="00FC4269"/>
    <w:rsid w:val="00FD2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905B7"/>
  <w15:chartTrackingRefBased/>
  <w15:docId w15:val="{F1A6C4E2-A2D3-4DFE-86B9-2FC03664A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4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4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4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4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4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4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4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4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42E"/>
    <w:rPr>
      <w:rFonts w:eastAsiaTheme="majorEastAsia" w:cstheme="majorBidi"/>
      <w:color w:val="272727" w:themeColor="text1" w:themeTint="D8"/>
    </w:rPr>
  </w:style>
  <w:style w:type="paragraph" w:styleId="Title">
    <w:name w:val="Title"/>
    <w:basedOn w:val="Normal"/>
    <w:next w:val="Normal"/>
    <w:link w:val="TitleChar"/>
    <w:uiPriority w:val="10"/>
    <w:qFormat/>
    <w:rsid w:val="00F02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4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4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4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42E"/>
    <w:pPr>
      <w:spacing w:before="160"/>
      <w:jc w:val="center"/>
    </w:pPr>
    <w:rPr>
      <w:i/>
      <w:iCs/>
      <w:color w:val="404040" w:themeColor="text1" w:themeTint="BF"/>
    </w:rPr>
  </w:style>
  <w:style w:type="character" w:customStyle="1" w:styleId="QuoteChar">
    <w:name w:val="Quote Char"/>
    <w:basedOn w:val="DefaultParagraphFont"/>
    <w:link w:val="Quote"/>
    <w:uiPriority w:val="29"/>
    <w:rsid w:val="00F0242E"/>
    <w:rPr>
      <w:i/>
      <w:iCs/>
      <w:color w:val="404040" w:themeColor="text1" w:themeTint="BF"/>
    </w:rPr>
  </w:style>
  <w:style w:type="paragraph" w:styleId="ListParagraph">
    <w:name w:val="List Paragraph"/>
    <w:basedOn w:val="Normal"/>
    <w:uiPriority w:val="34"/>
    <w:qFormat/>
    <w:rsid w:val="00F0242E"/>
    <w:pPr>
      <w:ind w:left="720"/>
      <w:contextualSpacing/>
    </w:pPr>
  </w:style>
  <w:style w:type="character" w:styleId="IntenseEmphasis">
    <w:name w:val="Intense Emphasis"/>
    <w:basedOn w:val="DefaultParagraphFont"/>
    <w:uiPriority w:val="21"/>
    <w:qFormat/>
    <w:rsid w:val="00F0242E"/>
    <w:rPr>
      <w:i/>
      <w:iCs/>
      <w:color w:val="0F4761" w:themeColor="accent1" w:themeShade="BF"/>
    </w:rPr>
  </w:style>
  <w:style w:type="paragraph" w:styleId="IntenseQuote">
    <w:name w:val="Intense Quote"/>
    <w:basedOn w:val="Normal"/>
    <w:next w:val="Normal"/>
    <w:link w:val="IntenseQuoteChar"/>
    <w:uiPriority w:val="30"/>
    <w:qFormat/>
    <w:rsid w:val="00F02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42E"/>
    <w:rPr>
      <w:i/>
      <w:iCs/>
      <w:color w:val="0F4761" w:themeColor="accent1" w:themeShade="BF"/>
    </w:rPr>
  </w:style>
  <w:style w:type="character" w:styleId="IntenseReference">
    <w:name w:val="Intense Reference"/>
    <w:basedOn w:val="DefaultParagraphFont"/>
    <w:uiPriority w:val="32"/>
    <w:qFormat/>
    <w:rsid w:val="00F0242E"/>
    <w:rPr>
      <w:b/>
      <w:bCs/>
      <w:smallCaps/>
      <w:color w:val="0F4761" w:themeColor="accent1" w:themeShade="BF"/>
      <w:spacing w:val="5"/>
    </w:rPr>
  </w:style>
  <w:style w:type="character" w:styleId="Hyperlink">
    <w:name w:val="Hyperlink"/>
    <w:basedOn w:val="DefaultParagraphFont"/>
    <w:uiPriority w:val="99"/>
    <w:unhideWhenUsed/>
    <w:rsid w:val="00F0242E"/>
    <w:rPr>
      <w:color w:val="467886" w:themeColor="hyperlink"/>
      <w:u w:val="single"/>
    </w:rPr>
  </w:style>
  <w:style w:type="character" w:styleId="UnresolvedMention">
    <w:name w:val="Unresolved Mention"/>
    <w:basedOn w:val="DefaultParagraphFont"/>
    <w:uiPriority w:val="99"/>
    <w:semiHidden/>
    <w:unhideWhenUsed/>
    <w:rsid w:val="00F02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617361">
      <w:bodyDiv w:val="1"/>
      <w:marLeft w:val="0"/>
      <w:marRight w:val="0"/>
      <w:marTop w:val="0"/>
      <w:marBottom w:val="0"/>
      <w:divBdr>
        <w:top w:val="none" w:sz="0" w:space="0" w:color="auto"/>
        <w:left w:val="none" w:sz="0" w:space="0" w:color="auto"/>
        <w:bottom w:val="none" w:sz="0" w:space="0" w:color="auto"/>
        <w:right w:val="none" w:sz="0" w:space="0" w:color="auto"/>
      </w:divBdr>
    </w:div>
    <w:div w:id="158233055">
      <w:bodyDiv w:val="1"/>
      <w:marLeft w:val="0"/>
      <w:marRight w:val="0"/>
      <w:marTop w:val="0"/>
      <w:marBottom w:val="0"/>
      <w:divBdr>
        <w:top w:val="none" w:sz="0" w:space="0" w:color="auto"/>
        <w:left w:val="none" w:sz="0" w:space="0" w:color="auto"/>
        <w:bottom w:val="none" w:sz="0" w:space="0" w:color="auto"/>
        <w:right w:val="none" w:sz="0" w:space="0" w:color="auto"/>
      </w:divBdr>
    </w:div>
    <w:div w:id="324894044">
      <w:bodyDiv w:val="1"/>
      <w:marLeft w:val="0"/>
      <w:marRight w:val="0"/>
      <w:marTop w:val="0"/>
      <w:marBottom w:val="0"/>
      <w:divBdr>
        <w:top w:val="none" w:sz="0" w:space="0" w:color="auto"/>
        <w:left w:val="none" w:sz="0" w:space="0" w:color="auto"/>
        <w:bottom w:val="none" w:sz="0" w:space="0" w:color="auto"/>
        <w:right w:val="none" w:sz="0" w:space="0" w:color="auto"/>
      </w:divBdr>
    </w:div>
    <w:div w:id="736131332">
      <w:bodyDiv w:val="1"/>
      <w:marLeft w:val="0"/>
      <w:marRight w:val="0"/>
      <w:marTop w:val="0"/>
      <w:marBottom w:val="0"/>
      <w:divBdr>
        <w:top w:val="none" w:sz="0" w:space="0" w:color="auto"/>
        <w:left w:val="none" w:sz="0" w:space="0" w:color="auto"/>
        <w:bottom w:val="none" w:sz="0" w:space="0" w:color="auto"/>
        <w:right w:val="none" w:sz="0" w:space="0" w:color="auto"/>
      </w:divBdr>
    </w:div>
    <w:div w:id="837187153">
      <w:bodyDiv w:val="1"/>
      <w:marLeft w:val="0"/>
      <w:marRight w:val="0"/>
      <w:marTop w:val="0"/>
      <w:marBottom w:val="0"/>
      <w:divBdr>
        <w:top w:val="none" w:sz="0" w:space="0" w:color="auto"/>
        <w:left w:val="none" w:sz="0" w:space="0" w:color="auto"/>
        <w:bottom w:val="none" w:sz="0" w:space="0" w:color="auto"/>
        <w:right w:val="none" w:sz="0" w:space="0" w:color="auto"/>
      </w:divBdr>
      <w:divsChild>
        <w:div w:id="538322452">
          <w:marLeft w:val="0"/>
          <w:marRight w:val="0"/>
          <w:marTop w:val="0"/>
          <w:marBottom w:val="0"/>
          <w:divBdr>
            <w:top w:val="none" w:sz="0" w:space="0" w:color="auto"/>
            <w:left w:val="none" w:sz="0" w:space="0" w:color="auto"/>
            <w:bottom w:val="none" w:sz="0" w:space="0" w:color="auto"/>
            <w:right w:val="none" w:sz="0" w:space="0" w:color="auto"/>
          </w:divBdr>
        </w:div>
        <w:div w:id="1601061550">
          <w:marLeft w:val="0"/>
          <w:marRight w:val="0"/>
          <w:marTop w:val="0"/>
          <w:marBottom w:val="0"/>
          <w:divBdr>
            <w:top w:val="none" w:sz="0" w:space="0" w:color="auto"/>
            <w:left w:val="none" w:sz="0" w:space="0" w:color="auto"/>
            <w:bottom w:val="none" w:sz="0" w:space="0" w:color="auto"/>
            <w:right w:val="none" w:sz="0" w:space="0" w:color="auto"/>
          </w:divBdr>
        </w:div>
      </w:divsChild>
    </w:div>
    <w:div w:id="983923935">
      <w:bodyDiv w:val="1"/>
      <w:marLeft w:val="0"/>
      <w:marRight w:val="0"/>
      <w:marTop w:val="0"/>
      <w:marBottom w:val="0"/>
      <w:divBdr>
        <w:top w:val="none" w:sz="0" w:space="0" w:color="auto"/>
        <w:left w:val="none" w:sz="0" w:space="0" w:color="auto"/>
        <w:bottom w:val="none" w:sz="0" w:space="0" w:color="auto"/>
        <w:right w:val="none" w:sz="0" w:space="0" w:color="auto"/>
      </w:divBdr>
    </w:div>
    <w:div w:id="1022782519">
      <w:bodyDiv w:val="1"/>
      <w:marLeft w:val="0"/>
      <w:marRight w:val="0"/>
      <w:marTop w:val="0"/>
      <w:marBottom w:val="0"/>
      <w:divBdr>
        <w:top w:val="none" w:sz="0" w:space="0" w:color="auto"/>
        <w:left w:val="none" w:sz="0" w:space="0" w:color="auto"/>
        <w:bottom w:val="none" w:sz="0" w:space="0" w:color="auto"/>
        <w:right w:val="none" w:sz="0" w:space="0" w:color="auto"/>
      </w:divBdr>
      <w:divsChild>
        <w:div w:id="181667523">
          <w:marLeft w:val="0"/>
          <w:marRight w:val="0"/>
          <w:marTop w:val="0"/>
          <w:marBottom w:val="0"/>
          <w:divBdr>
            <w:top w:val="none" w:sz="0" w:space="0" w:color="auto"/>
            <w:left w:val="none" w:sz="0" w:space="0" w:color="auto"/>
            <w:bottom w:val="none" w:sz="0" w:space="0" w:color="auto"/>
            <w:right w:val="none" w:sz="0" w:space="0" w:color="auto"/>
          </w:divBdr>
        </w:div>
        <w:div w:id="1347486361">
          <w:marLeft w:val="0"/>
          <w:marRight w:val="0"/>
          <w:marTop w:val="0"/>
          <w:marBottom w:val="0"/>
          <w:divBdr>
            <w:top w:val="none" w:sz="0" w:space="0" w:color="auto"/>
            <w:left w:val="none" w:sz="0" w:space="0" w:color="auto"/>
            <w:bottom w:val="none" w:sz="0" w:space="0" w:color="auto"/>
            <w:right w:val="none" w:sz="0" w:space="0" w:color="auto"/>
          </w:divBdr>
        </w:div>
      </w:divsChild>
    </w:div>
    <w:div w:id="1030767922">
      <w:bodyDiv w:val="1"/>
      <w:marLeft w:val="0"/>
      <w:marRight w:val="0"/>
      <w:marTop w:val="0"/>
      <w:marBottom w:val="0"/>
      <w:divBdr>
        <w:top w:val="none" w:sz="0" w:space="0" w:color="auto"/>
        <w:left w:val="none" w:sz="0" w:space="0" w:color="auto"/>
        <w:bottom w:val="none" w:sz="0" w:space="0" w:color="auto"/>
        <w:right w:val="none" w:sz="0" w:space="0" w:color="auto"/>
      </w:divBdr>
    </w:div>
    <w:div w:id="1044450142">
      <w:bodyDiv w:val="1"/>
      <w:marLeft w:val="0"/>
      <w:marRight w:val="0"/>
      <w:marTop w:val="0"/>
      <w:marBottom w:val="0"/>
      <w:divBdr>
        <w:top w:val="none" w:sz="0" w:space="0" w:color="auto"/>
        <w:left w:val="none" w:sz="0" w:space="0" w:color="auto"/>
        <w:bottom w:val="none" w:sz="0" w:space="0" w:color="auto"/>
        <w:right w:val="none" w:sz="0" w:space="0" w:color="auto"/>
      </w:divBdr>
    </w:div>
    <w:div w:id="1101757300">
      <w:bodyDiv w:val="1"/>
      <w:marLeft w:val="0"/>
      <w:marRight w:val="0"/>
      <w:marTop w:val="0"/>
      <w:marBottom w:val="0"/>
      <w:divBdr>
        <w:top w:val="none" w:sz="0" w:space="0" w:color="auto"/>
        <w:left w:val="none" w:sz="0" w:space="0" w:color="auto"/>
        <w:bottom w:val="none" w:sz="0" w:space="0" w:color="auto"/>
        <w:right w:val="none" w:sz="0" w:space="0" w:color="auto"/>
      </w:divBdr>
    </w:div>
    <w:div w:id="1175268436">
      <w:bodyDiv w:val="1"/>
      <w:marLeft w:val="0"/>
      <w:marRight w:val="0"/>
      <w:marTop w:val="0"/>
      <w:marBottom w:val="0"/>
      <w:divBdr>
        <w:top w:val="none" w:sz="0" w:space="0" w:color="auto"/>
        <w:left w:val="none" w:sz="0" w:space="0" w:color="auto"/>
        <w:bottom w:val="none" w:sz="0" w:space="0" w:color="auto"/>
        <w:right w:val="none" w:sz="0" w:space="0" w:color="auto"/>
      </w:divBdr>
    </w:div>
    <w:div w:id="1528373356">
      <w:bodyDiv w:val="1"/>
      <w:marLeft w:val="0"/>
      <w:marRight w:val="0"/>
      <w:marTop w:val="0"/>
      <w:marBottom w:val="0"/>
      <w:divBdr>
        <w:top w:val="none" w:sz="0" w:space="0" w:color="auto"/>
        <w:left w:val="none" w:sz="0" w:space="0" w:color="auto"/>
        <w:bottom w:val="none" w:sz="0" w:space="0" w:color="auto"/>
        <w:right w:val="none" w:sz="0" w:space="0" w:color="auto"/>
      </w:divBdr>
    </w:div>
    <w:div w:id="1627084695">
      <w:bodyDiv w:val="1"/>
      <w:marLeft w:val="0"/>
      <w:marRight w:val="0"/>
      <w:marTop w:val="0"/>
      <w:marBottom w:val="0"/>
      <w:divBdr>
        <w:top w:val="none" w:sz="0" w:space="0" w:color="auto"/>
        <w:left w:val="none" w:sz="0" w:space="0" w:color="auto"/>
        <w:bottom w:val="none" w:sz="0" w:space="0" w:color="auto"/>
        <w:right w:val="none" w:sz="0" w:space="0" w:color="auto"/>
      </w:divBdr>
    </w:div>
    <w:div w:id="1968923381">
      <w:bodyDiv w:val="1"/>
      <w:marLeft w:val="0"/>
      <w:marRight w:val="0"/>
      <w:marTop w:val="0"/>
      <w:marBottom w:val="0"/>
      <w:divBdr>
        <w:top w:val="none" w:sz="0" w:space="0" w:color="auto"/>
        <w:left w:val="none" w:sz="0" w:space="0" w:color="auto"/>
        <w:bottom w:val="none" w:sz="0" w:space="0" w:color="auto"/>
        <w:right w:val="none" w:sz="0" w:space="0" w:color="auto"/>
      </w:divBdr>
    </w:div>
    <w:div w:id="2048289401">
      <w:bodyDiv w:val="1"/>
      <w:marLeft w:val="0"/>
      <w:marRight w:val="0"/>
      <w:marTop w:val="0"/>
      <w:marBottom w:val="0"/>
      <w:divBdr>
        <w:top w:val="none" w:sz="0" w:space="0" w:color="auto"/>
        <w:left w:val="none" w:sz="0" w:space="0" w:color="auto"/>
        <w:bottom w:val="none" w:sz="0" w:space="0" w:color="auto"/>
        <w:right w:val="none" w:sz="0" w:space="0" w:color="auto"/>
      </w:divBdr>
    </w:div>
    <w:div w:id="207758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scoverjoy7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1286</Words>
  <Characters>7335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Nguyen</dc:creator>
  <cp:keywords/>
  <dc:description/>
  <cp:lastModifiedBy>Bryan Blair</cp:lastModifiedBy>
  <cp:revision>2</cp:revision>
  <dcterms:created xsi:type="dcterms:W3CDTF">2024-11-04T18:19:00Z</dcterms:created>
  <dcterms:modified xsi:type="dcterms:W3CDTF">2024-11-04T18:19:00Z</dcterms:modified>
</cp:coreProperties>
</file>