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A010D" w14:textId="77777777" w:rsidR="00A32796" w:rsidRPr="00A32796" w:rsidRDefault="00A32796" w:rsidP="00A32796">
      <w:r w:rsidRPr="00A32796">
        <w:rPr>
          <w:b/>
          <w:bCs/>
        </w:rPr>
        <w:t>Job Title:</w:t>
      </w:r>
      <w:r w:rsidRPr="00A32796">
        <w:t xml:space="preserve"> Executive Medical Director</w:t>
      </w:r>
    </w:p>
    <w:p w14:paraId="2127139C" w14:textId="77777777" w:rsidR="00A32796" w:rsidRPr="00A32796" w:rsidRDefault="00A32796" w:rsidP="00A32796">
      <w:r w:rsidRPr="00A32796">
        <w:rPr>
          <w:b/>
          <w:bCs/>
        </w:rPr>
        <w:t>Company Name:</w:t>
      </w:r>
      <w:r w:rsidRPr="00A32796">
        <w:t xml:space="preserve"> Vivace Therapeutics, Inc.</w:t>
      </w:r>
    </w:p>
    <w:p w14:paraId="732810E0" w14:textId="77777777" w:rsidR="00A32796" w:rsidRPr="00A32796" w:rsidRDefault="00A32796" w:rsidP="00A32796">
      <w:r w:rsidRPr="00A32796">
        <w:rPr>
          <w:b/>
          <w:bCs/>
        </w:rPr>
        <w:t>Location:</w:t>
      </w:r>
      <w:r w:rsidRPr="00A32796">
        <w:t xml:space="preserve"> Remote (with travel to San Francisco Bay Area as needed)</w:t>
      </w:r>
    </w:p>
    <w:p w14:paraId="631C4CF8" w14:textId="77777777" w:rsidR="00A32796" w:rsidRPr="00A32796" w:rsidRDefault="00A32796" w:rsidP="00A32796">
      <w:r w:rsidRPr="00A32796">
        <w:rPr>
          <w:b/>
          <w:bCs/>
        </w:rPr>
        <w:t>Hiring Manager:</w:t>
      </w:r>
      <w:r w:rsidRPr="00A32796">
        <w:t xml:space="preserve"> Chief Medical Officer</w:t>
      </w:r>
    </w:p>
    <w:p w14:paraId="4FC1C000" w14:textId="77777777" w:rsidR="00A32796" w:rsidRPr="00A32796" w:rsidRDefault="00A32796" w:rsidP="00A32796">
      <w:r w:rsidRPr="00A32796">
        <w:rPr>
          <w:b/>
          <w:bCs/>
        </w:rPr>
        <w:t>Job Summary:</w:t>
      </w:r>
    </w:p>
    <w:p w14:paraId="56EFAE25" w14:textId="77777777" w:rsidR="00A32796" w:rsidRPr="00A32796" w:rsidRDefault="00A32796" w:rsidP="00A32796">
      <w:r w:rsidRPr="00A32796">
        <w:t>Vivace Therapeutics, Inc., a clinical-stage small-molecule drug discovery and development company, is seeking an accomplished Executive Medical Director with deep expertise in solid tumor oncology. Reporting directly to the Chief Medical Officer, this pivotal leader will shape and execute the clinical strategy for our first-in-class TEAD inhibitor, VT3989, through late-stage clinical development and beyond. This individual will play a critical role in advancing our mission to address high unmet medical needs in oncology.</w:t>
      </w:r>
    </w:p>
    <w:p w14:paraId="43F89BBB" w14:textId="77777777" w:rsidR="00A32796" w:rsidRPr="00A32796" w:rsidRDefault="00A32796" w:rsidP="00A32796">
      <w:r w:rsidRPr="00A32796">
        <w:rPr>
          <w:b/>
          <w:bCs/>
        </w:rPr>
        <w:t>Key Responsibilities:</w:t>
      </w:r>
    </w:p>
    <w:p w14:paraId="337B2A0E" w14:textId="77777777" w:rsidR="00A32796" w:rsidRPr="00A32796" w:rsidRDefault="00A32796" w:rsidP="00A32796">
      <w:pPr>
        <w:numPr>
          <w:ilvl w:val="0"/>
          <w:numId w:val="1"/>
        </w:numPr>
      </w:pPr>
      <w:r w:rsidRPr="00A32796">
        <w:t>Lead the design, implementation, and medical oversight of clinical trials (Phases I–III) for novel small molecule oncology assets.</w:t>
      </w:r>
    </w:p>
    <w:p w14:paraId="17091BC0" w14:textId="77777777" w:rsidR="00A32796" w:rsidRPr="00A32796" w:rsidRDefault="00A32796" w:rsidP="00A32796">
      <w:pPr>
        <w:numPr>
          <w:ilvl w:val="0"/>
          <w:numId w:val="1"/>
        </w:numPr>
      </w:pPr>
      <w:r w:rsidRPr="00A32796">
        <w:t>Contribute to and refine the overarching clinical development plan, ensuring alignment with regulatory and commercial goals.</w:t>
      </w:r>
    </w:p>
    <w:p w14:paraId="537A6539" w14:textId="77777777" w:rsidR="00A32796" w:rsidRPr="00A32796" w:rsidRDefault="00A32796" w:rsidP="00A32796">
      <w:pPr>
        <w:numPr>
          <w:ilvl w:val="0"/>
          <w:numId w:val="1"/>
        </w:numPr>
      </w:pPr>
      <w:r w:rsidRPr="00A32796">
        <w:t>Direct the medical review, analysis, and interpretation of clinical data, including safety, efficacy, and pharmacokinetics.</w:t>
      </w:r>
    </w:p>
    <w:p w14:paraId="198A18B2" w14:textId="77777777" w:rsidR="00A32796" w:rsidRPr="00A32796" w:rsidRDefault="00A32796" w:rsidP="00A32796">
      <w:pPr>
        <w:numPr>
          <w:ilvl w:val="0"/>
          <w:numId w:val="1"/>
        </w:numPr>
      </w:pPr>
      <w:r w:rsidRPr="00A32796">
        <w:t>Prepare and contribute to regulatory submissions, including INDs, NDAs, and briefing documents; represent the company in agency meetings.</w:t>
      </w:r>
    </w:p>
    <w:p w14:paraId="61E22819" w14:textId="77777777" w:rsidR="00A32796" w:rsidRPr="00A32796" w:rsidRDefault="00A32796" w:rsidP="00A32796">
      <w:pPr>
        <w:numPr>
          <w:ilvl w:val="0"/>
          <w:numId w:val="1"/>
        </w:numPr>
      </w:pPr>
      <w:r w:rsidRPr="00A32796">
        <w:t>Collaborate cross-functionally with research, preclinical, regulatory, biostatistics, operations, and commercial teams for seamless program execution.</w:t>
      </w:r>
    </w:p>
    <w:p w14:paraId="3C293334" w14:textId="77777777" w:rsidR="00A32796" w:rsidRPr="00A32796" w:rsidRDefault="00A32796" w:rsidP="00A32796">
      <w:pPr>
        <w:numPr>
          <w:ilvl w:val="0"/>
          <w:numId w:val="1"/>
        </w:numPr>
      </w:pPr>
      <w:r w:rsidRPr="00A32796">
        <w:t xml:space="preserve">Cultivate relationships with key opinion leaders, investigators, and advocacy </w:t>
      </w:r>
      <w:proofErr w:type="gramStart"/>
      <w:r w:rsidRPr="00A32796">
        <w:t>groups;</w:t>
      </w:r>
      <w:proofErr w:type="gramEnd"/>
      <w:r w:rsidRPr="00A32796">
        <w:t xml:space="preserve"> present data at scientific conferences and advisory boards.</w:t>
      </w:r>
    </w:p>
    <w:p w14:paraId="139E2FDB" w14:textId="77777777" w:rsidR="00A32796" w:rsidRPr="00A32796" w:rsidRDefault="00A32796" w:rsidP="00A32796">
      <w:pPr>
        <w:numPr>
          <w:ilvl w:val="0"/>
          <w:numId w:val="1"/>
        </w:numPr>
      </w:pPr>
      <w:r w:rsidRPr="00A32796">
        <w:t>Oversee safety monitoring of ongoing studies, including adverse event review and risk management in partnership with CRO safety teams.</w:t>
      </w:r>
    </w:p>
    <w:p w14:paraId="369E8F7E" w14:textId="77777777" w:rsidR="00A32796" w:rsidRPr="00A32796" w:rsidRDefault="00A32796" w:rsidP="00A32796">
      <w:pPr>
        <w:numPr>
          <w:ilvl w:val="0"/>
          <w:numId w:val="1"/>
        </w:numPr>
      </w:pPr>
      <w:r w:rsidRPr="00A32796">
        <w:t>Mentor and provide medical oversight to junior clinical development staff.</w:t>
      </w:r>
    </w:p>
    <w:p w14:paraId="7BF3B1AE" w14:textId="77777777" w:rsidR="00A32796" w:rsidRPr="00A32796" w:rsidRDefault="00A32796" w:rsidP="00A32796">
      <w:pPr>
        <w:numPr>
          <w:ilvl w:val="0"/>
          <w:numId w:val="1"/>
        </w:numPr>
      </w:pPr>
      <w:r w:rsidRPr="00A32796">
        <w:t>Participate in due diligence activities for partnership or licensing opportunities.</w:t>
      </w:r>
    </w:p>
    <w:p w14:paraId="4EF46967" w14:textId="77777777" w:rsidR="00A32796" w:rsidRPr="00A32796" w:rsidRDefault="00A32796" w:rsidP="00A32796">
      <w:r w:rsidRPr="00A32796">
        <w:rPr>
          <w:b/>
          <w:bCs/>
        </w:rPr>
        <w:t>Required Qualifications:</w:t>
      </w:r>
    </w:p>
    <w:p w14:paraId="117C84BD" w14:textId="77777777" w:rsidR="00A32796" w:rsidRPr="00A32796" w:rsidRDefault="00A32796" w:rsidP="00A32796">
      <w:pPr>
        <w:numPr>
          <w:ilvl w:val="0"/>
          <w:numId w:val="2"/>
        </w:numPr>
      </w:pPr>
      <w:r w:rsidRPr="00A32796">
        <w:t>MD (required), with board certification preferred.</w:t>
      </w:r>
    </w:p>
    <w:p w14:paraId="70FD04D9" w14:textId="77777777" w:rsidR="00A32796" w:rsidRPr="00A32796" w:rsidRDefault="00A32796" w:rsidP="00A32796">
      <w:pPr>
        <w:numPr>
          <w:ilvl w:val="0"/>
          <w:numId w:val="2"/>
        </w:numPr>
      </w:pPr>
      <w:r w:rsidRPr="00A32796">
        <w:t>Solid tumor oncology experience (thoracic preferred).</w:t>
      </w:r>
    </w:p>
    <w:p w14:paraId="35AFEFE5" w14:textId="77777777" w:rsidR="00A32796" w:rsidRPr="00A32796" w:rsidRDefault="00A32796" w:rsidP="00A32796">
      <w:pPr>
        <w:numPr>
          <w:ilvl w:val="0"/>
          <w:numId w:val="2"/>
        </w:numPr>
      </w:pPr>
      <w:r w:rsidRPr="00A32796">
        <w:t>Minimum of 5+ years’ clinical drug development experience in biotechnology or pharmaceutical settings, focusing on oncology small molecules.</w:t>
      </w:r>
    </w:p>
    <w:p w14:paraId="3992EFCB" w14:textId="77777777" w:rsidR="00A32796" w:rsidRPr="00A32796" w:rsidRDefault="00A32796" w:rsidP="00A32796">
      <w:pPr>
        <w:numPr>
          <w:ilvl w:val="0"/>
          <w:numId w:val="2"/>
        </w:numPr>
      </w:pPr>
      <w:r w:rsidRPr="00A32796">
        <w:lastRenderedPageBreak/>
        <w:t>Proven track record of leading clinical trials from early through late-stage development.</w:t>
      </w:r>
    </w:p>
    <w:p w14:paraId="55062326" w14:textId="77777777" w:rsidR="00A32796" w:rsidRPr="00A32796" w:rsidRDefault="00A32796" w:rsidP="00A32796">
      <w:pPr>
        <w:numPr>
          <w:ilvl w:val="0"/>
          <w:numId w:val="2"/>
        </w:numPr>
      </w:pPr>
      <w:r w:rsidRPr="00A32796">
        <w:t>Strong understanding of clinical trial design, regulatory frameworks, and biostatistics.</w:t>
      </w:r>
    </w:p>
    <w:p w14:paraId="677F51ED" w14:textId="77777777" w:rsidR="00A32796" w:rsidRPr="00A32796" w:rsidRDefault="00A32796" w:rsidP="00A32796">
      <w:pPr>
        <w:numPr>
          <w:ilvl w:val="0"/>
          <w:numId w:val="2"/>
        </w:numPr>
      </w:pPr>
      <w:r w:rsidRPr="00A32796">
        <w:t>Experience with regulatory submissions (INDs, NDAs, BLAs) preferred.</w:t>
      </w:r>
    </w:p>
    <w:p w14:paraId="1A76EB3C" w14:textId="77777777" w:rsidR="00A32796" w:rsidRPr="00A32796" w:rsidRDefault="00A32796" w:rsidP="00A32796">
      <w:pPr>
        <w:numPr>
          <w:ilvl w:val="0"/>
          <w:numId w:val="2"/>
        </w:numPr>
      </w:pPr>
      <w:r w:rsidRPr="00A32796">
        <w:t>Excellent communication and leadership skills with the ability to work collaboratively in a fast-paced environment.</w:t>
      </w:r>
    </w:p>
    <w:p w14:paraId="5F2B131E" w14:textId="77777777" w:rsidR="00A32796" w:rsidRPr="00A32796" w:rsidRDefault="00A32796" w:rsidP="00A32796">
      <w:pPr>
        <w:numPr>
          <w:ilvl w:val="0"/>
          <w:numId w:val="2"/>
        </w:numPr>
      </w:pPr>
      <w:r w:rsidRPr="00A32796">
        <w:t>Willingness to travel approximately 10–15%.</w:t>
      </w:r>
    </w:p>
    <w:p w14:paraId="12895A31" w14:textId="77777777" w:rsidR="00A32796" w:rsidRPr="00A32796" w:rsidRDefault="00A32796" w:rsidP="00A32796">
      <w:r w:rsidRPr="00A32796">
        <w:rPr>
          <w:b/>
          <w:bCs/>
        </w:rPr>
        <w:t>Preferred Qualifications:</w:t>
      </w:r>
    </w:p>
    <w:p w14:paraId="3A55B9AE" w14:textId="77777777" w:rsidR="00A32796" w:rsidRPr="00A32796" w:rsidRDefault="00A32796" w:rsidP="00A32796">
      <w:pPr>
        <w:numPr>
          <w:ilvl w:val="0"/>
          <w:numId w:val="3"/>
        </w:numPr>
      </w:pPr>
      <w:r w:rsidRPr="00A32796">
        <w:t>Experience with TEAD inhibition or Hippo pathway modulation.</w:t>
      </w:r>
    </w:p>
    <w:p w14:paraId="05C124AD" w14:textId="77777777" w:rsidR="00A32796" w:rsidRPr="00A32796" w:rsidRDefault="00A32796" w:rsidP="00A32796">
      <w:pPr>
        <w:numPr>
          <w:ilvl w:val="0"/>
          <w:numId w:val="3"/>
        </w:numPr>
      </w:pPr>
      <w:r w:rsidRPr="00A32796">
        <w:t>Prior experience in post-marketing medical affairs.</w:t>
      </w:r>
    </w:p>
    <w:p w14:paraId="5DA8B9DE" w14:textId="77777777" w:rsidR="00A32796" w:rsidRPr="00A32796" w:rsidRDefault="00A32796" w:rsidP="00A32796">
      <w:r w:rsidRPr="00A32796">
        <w:rPr>
          <w:b/>
          <w:bCs/>
        </w:rPr>
        <w:t>Compensation Range:</w:t>
      </w:r>
      <w:r w:rsidRPr="00A32796">
        <w:t xml:space="preserve"> Competitive base salary plus annual performance bonus and equity opportunities.</w:t>
      </w:r>
    </w:p>
    <w:p w14:paraId="56BC46CB" w14:textId="77777777" w:rsidR="003E5CA4" w:rsidRDefault="003E5CA4"/>
    <w:sectPr w:rsidR="003E5CA4" w:rsidSect="00A3279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D1DA4"/>
    <w:multiLevelType w:val="multilevel"/>
    <w:tmpl w:val="876C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A063E6F"/>
    <w:multiLevelType w:val="multilevel"/>
    <w:tmpl w:val="D66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16097F"/>
    <w:multiLevelType w:val="multilevel"/>
    <w:tmpl w:val="0FD4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1608364">
    <w:abstractNumId w:val="0"/>
  </w:num>
  <w:num w:numId="2" w16cid:durableId="938027518">
    <w:abstractNumId w:val="1"/>
  </w:num>
  <w:num w:numId="3" w16cid:durableId="3897703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796"/>
    <w:rsid w:val="001D4820"/>
    <w:rsid w:val="003E5CA4"/>
    <w:rsid w:val="00A32796"/>
    <w:rsid w:val="00C2226C"/>
    <w:rsid w:val="00CA2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D99C7F"/>
  <w15:chartTrackingRefBased/>
  <w15:docId w15:val="{949317A5-2909-44C9-B932-A5E9487B3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7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27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27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27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27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27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7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7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7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7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27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27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27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27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27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7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7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796"/>
    <w:rPr>
      <w:rFonts w:eastAsiaTheme="majorEastAsia" w:cstheme="majorBidi"/>
      <w:color w:val="272727" w:themeColor="text1" w:themeTint="D8"/>
    </w:rPr>
  </w:style>
  <w:style w:type="paragraph" w:styleId="Title">
    <w:name w:val="Title"/>
    <w:basedOn w:val="Normal"/>
    <w:next w:val="Normal"/>
    <w:link w:val="TitleChar"/>
    <w:uiPriority w:val="10"/>
    <w:qFormat/>
    <w:rsid w:val="00A327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7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7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7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796"/>
    <w:pPr>
      <w:spacing w:before="160"/>
      <w:jc w:val="center"/>
    </w:pPr>
    <w:rPr>
      <w:i/>
      <w:iCs/>
      <w:color w:val="404040" w:themeColor="text1" w:themeTint="BF"/>
    </w:rPr>
  </w:style>
  <w:style w:type="character" w:customStyle="1" w:styleId="QuoteChar">
    <w:name w:val="Quote Char"/>
    <w:basedOn w:val="DefaultParagraphFont"/>
    <w:link w:val="Quote"/>
    <w:uiPriority w:val="29"/>
    <w:rsid w:val="00A32796"/>
    <w:rPr>
      <w:i/>
      <w:iCs/>
      <w:color w:val="404040" w:themeColor="text1" w:themeTint="BF"/>
    </w:rPr>
  </w:style>
  <w:style w:type="paragraph" w:styleId="ListParagraph">
    <w:name w:val="List Paragraph"/>
    <w:basedOn w:val="Normal"/>
    <w:uiPriority w:val="34"/>
    <w:qFormat/>
    <w:rsid w:val="00A32796"/>
    <w:pPr>
      <w:ind w:left="720"/>
      <w:contextualSpacing/>
    </w:pPr>
  </w:style>
  <w:style w:type="character" w:styleId="IntenseEmphasis">
    <w:name w:val="Intense Emphasis"/>
    <w:basedOn w:val="DefaultParagraphFont"/>
    <w:uiPriority w:val="21"/>
    <w:qFormat/>
    <w:rsid w:val="00A32796"/>
    <w:rPr>
      <w:i/>
      <w:iCs/>
      <w:color w:val="0F4761" w:themeColor="accent1" w:themeShade="BF"/>
    </w:rPr>
  </w:style>
  <w:style w:type="paragraph" w:styleId="IntenseQuote">
    <w:name w:val="Intense Quote"/>
    <w:basedOn w:val="Normal"/>
    <w:next w:val="Normal"/>
    <w:link w:val="IntenseQuoteChar"/>
    <w:uiPriority w:val="30"/>
    <w:qFormat/>
    <w:rsid w:val="00A327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2796"/>
    <w:rPr>
      <w:i/>
      <w:iCs/>
      <w:color w:val="0F4761" w:themeColor="accent1" w:themeShade="BF"/>
    </w:rPr>
  </w:style>
  <w:style w:type="character" w:styleId="IntenseReference">
    <w:name w:val="Intense Reference"/>
    <w:basedOn w:val="DefaultParagraphFont"/>
    <w:uiPriority w:val="32"/>
    <w:qFormat/>
    <w:rsid w:val="00A327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864091">
      <w:bodyDiv w:val="1"/>
      <w:marLeft w:val="0"/>
      <w:marRight w:val="0"/>
      <w:marTop w:val="0"/>
      <w:marBottom w:val="0"/>
      <w:divBdr>
        <w:top w:val="none" w:sz="0" w:space="0" w:color="auto"/>
        <w:left w:val="none" w:sz="0" w:space="0" w:color="auto"/>
        <w:bottom w:val="none" w:sz="0" w:space="0" w:color="auto"/>
        <w:right w:val="none" w:sz="0" w:space="0" w:color="auto"/>
      </w:divBdr>
    </w:div>
    <w:div w:id="1050763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354</Words>
  <Characters>2419</Characters>
  <Application>Microsoft Office Word</Application>
  <DocSecurity>0</DocSecurity>
  <Lines>20</Lines>
  <Paragraphs>5</Paragraphs>
  <ScaleCrop>false</ScaleCrop>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2025-08-12T14:38:00Z</dcterms:created>
  <dcterms:modified xsi:type="dcterms:W3CDTF">2025-08-12T14:39:00Z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6f141826-7757-43d0-8af5-0f17bdb113e2</vt:lpwstr>
  </property>
</Properties>
</file>