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AgentX Tracer 功能使用指南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本文档介绍 AgentX Tracer 平台各功能模块的用途与使用方法，面向平台使用者。平台的安装部署请参阅</w:t>
      </w:r>
      <w:hyperlink r:id="rId4">
        <w:r>
          <w:rPr>
            <w:rFonts w:eastAsia="等线" w:ascii="Arial" w:cs="Arial" w:hAnsi="Arial"/>
            <w:color w:val="3370ff"/>
            <w:sz w:val="22"/>
          </w:rPr>
          <w:t>AgentX Tracer 安装部署指南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登录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平台通过浏览器访问，访问地址为 </w:t>
      </w:r>
      <w:r>
        <w:rPr>
          <w:rFonts w:eastAsia="Consolas" w:ascii="Consolas" w:cs="Consolas" w:hAnsi="Consolas"/>
          <w:sz w:val="22"/>
          <w:shd w:fill="EFF0F1"/>
        </w:rPr>
        <w:t>http://&lt;服务器IP&gt;:8090</w:t>
      </w:r>
      <w:r>
        <w:rPr>
          <w:rFonts w:eastAsia="等线" w:ascii="Arial" w:cs="Arial" w:hAnsi="Arial"/>
          <w:sz w:val="22"/>
        </w:rPr>
        <w:t>。未登录状态下显示欢迎页，点击「立即体验」进入登录页面。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登录页面支持以下三种方式：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登录方式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密码登录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输入用户名与密码登录，适用于管理员及已设置密码的账号。</w:t>
            </w:r>
            <w:r>
              <w:rPr>
                <w:rFonts w:eastAsia="等线" w:ascii="Arial" w:cs="Arial" w:hAnsi="Arial"/>
                <w:b w:val="true"/>
                <w:sz w:val="22"/>
              </w:rPr>
              <w:t>系统默认管理员账号为 admin，初始密码为 admin123</w:t>
            </w:r>
            <w:r>
              <w:rPr>
                <w:rFonts w:eastAsia="等线" w:ascii="Arial" w:cs="Arial" w:hAnsi="Arial"/>
                <w:sz w:val="22"/>
              </w:rPr>
              <w:t>，首次登录后应及时修改密码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验证码登录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输入手机号并获取短信验证码，凭 6 位验证码登录，需短信通道可用。验证码发送按钮设有 60 秒冷却时间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通过登录页底部「注册」入口创建账号，需填写用户名、手机号、验证码、密码，真实姓名为选填项，注册成功后自动登录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忘记密码可通过登录页「忘记密码？」入口，凭手机号验证码重置。登录成功后默认进入仪表盘页面。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平台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AgentX Tracer 是智能体运行时可观测与 Token 计量平台，用于记录和展示智能体每次调用的推理过程、工具执行、Token 消耗、成本与执行结果。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平台左侧为全局导航栏，各功能模块说明如下：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导航入口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新对话 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Agent 交互，查看推理与工具调用过程，位于导航栏顶部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仪表盘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查看调用量、Token、成本、成功率等全局统计数据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调用追踪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查询单次调用的完整 Span 轨迹及入参、出参全文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模型配置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配置模型端点、密钥、计费单价与上下文窗口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管理平台内置技能与个人上传的技能包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工作区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浏览、预览、下载与删除 Agent 产生的文件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历史会话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用户历史会话记录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用户卡片（左下角）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进入个人中心，包含个人信息、密码设置、Otel 同步、沙箱设置四项配置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平台数据按用户（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）隔离，会话、调用记录、工作区文件、模型配置与技能均仅对所属用户可见。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模型配置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使用前先配置模型，模型配置用于设置当前用户使用的模型端点、调用凭据、计费单价与上下文窗口。配置按用户隔离，各用户互不影响；保存后即时生效，无需重启。使用对话功能前必须完成模型配置，否则发送消息将返回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配置步骤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在左侧导航栏打开「模型配置」，页面展示一张配置卡片，右上角显示当前状态：「未配置」或「已生效」。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按下表填写各字段。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点击「连通性测试」验证端点可用性，建议测试通过后再保存。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点击「保存并生效」，配置立即对全部智能体调用生效。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3180"/>
        <w:gridCol w:w="385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 URL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兼容的模型服务端点地址（去掉末尾v1）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https://llm-3jc1c05dx81wqnrf.cn-beijing.maas.aliyuncs.com/compatible-mode/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模型标识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模型服务商定义的模型名称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qwen-plus / deepseek-flash / XinCube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Key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模型服务调用凭据；掩码显示，保存时留空表示不修改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sk-…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采样温度，取值范围 0.0 - 2.0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输入单价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Token 单价，单位：元 / 百万 token，用于成本折算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输出单价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Token 单价，单位：元 / 百万 token，用于成本折算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2.00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上下文窗口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模型上下文窗口大小，用于调用追踪的占用进度条与每轮 Prompt 曲线，单位可切换 K / M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 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连通性测试</w:t>
      </w:r>
      <w:r>
        <w:rPr>
          <w:rFonts w:eastAsia="等线" w:ascii="Arial" w:cs="Arial" w:hAnsi="Arial"/>
          <w:sz w:val="22"/>
        </w:rPr>
        <w:t>：点击后向配置的端点发起一次真实请求。测试成功时显示请求延迟（毫秒），并标注「Token计量 可用」或「不可用（端点未返回 usage）」；测试失败时直接显示失败原因，如密钥错误、地址不通。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计量说明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保存即生效：平台所有智能体调用立即走此配置，无需重启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成本按当前单价实时折算：成本 = 输入token/100万 × 输入单价 + 输出token/100万 × 输出单价，修改单价不追溯历史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Token 采集依赖 </w:t>
      </w:r>
      <w:r>
        <w:rPr>
          <w:rFonts w:eastAsia="Consolas" w:ascii="Consolas" w:cs="Consolas" w:hAnsi="Consolas"/>
          <w:sz w:val="22"/>
          <w:shd w:fill="EFF0F1"/>
        </w:rPr>
        <w:t>stream_options.include_usage</w:t>
      </w:r>
      <w:r>
        <w:rPr>
          <w:rFonts w:eastAsia="等线" w:ascii="Arial" w:cs="Arial" w:hAnsi="Arial"/>
          <w:sz w:val="22"/>
        </w:rPr>
        <w:t>，平台已默认开启；端点不返回 usage 时该次调用 Token 记 0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上下文窗口用于调用追踪-统计页签的上下文占用进度条与膨胀曲线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智能体对话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智能体对话模块用于与 Agent 交互，并以时间线方式完整呈现其推理过程、工具调用与回答内容。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会话管理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新建会话入口为左侧导航栏「+ 新对话」。使用对话功能前需先完成模型配置（见「模型配置」一章），未配置时发送消息将返回错误。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导航栏的历史会话列表展示全部会话，标注每个会话的消息轮数与最近活跃时间；支持打开历史会话继续提问，以及删除指定会话。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消息输入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底部输入框支持文本输入。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新会话页面提供推荐问题，点击即可直接发起提问。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回答以流式方式实时输出。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时间线内容</w:t>
      </w:r>
      <w:r>
        <w:rPr>
          <w:rFonts w:eastAsia="等线" w:ascii="Arial" w:cs="Arial" w:hAnsi="Arial"/>
          <w:sz w:val="22"/>
        </w:rPr>
        <w:t>：Agent 执行过程在对话区按时间顺序以不同卡片呈现：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卡片类型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思考过程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模型的推理内容，独立成块展示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模型回答，按 Markdown 渲染，代码块带语法高亮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工具调用卡片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每次工具调用生成一张卡片，显示工具名称及「执行中 / 已完成」状态；展开后包含「参数」（入参，JSON 格式）与「结果」（工具返回内容）。多个工具并发执行时按完成顺序排列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计划清单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调用 TodoWrite 工具拆解任务时，渲染为待办清单卡片并随执行进度更新，不在工具调用卡片中重复出现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阶段与状态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阶段输出显示为带勾选标记的阶段条；人工干预时显示「已暂停」；执行异常时显示红色错误卡片，包含错误标题与详细信息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文件上传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支持点击「文档」按钮选择文件，或将文件拖拽至对话区上传。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支持格式：PDF、Office 文档（doc / docx / xls / xlsx / ppt / pptx）、文本文件（txt / md / csv / json / html / xml 等）、图片（jpg / png / gif / bmp / webp）。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数量与大小限制：单次最多 3 个文件，单个文件不超过 100MB。已选文件以卡片形式展示，发送前可移除。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任务中断与恢复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生成过程中，发送按钮自动切换为停止按钮，可随时中断本次执行。中断不是简单终止，框架会在安全点（模型输出中 / 工具执行中）捕获断点快照：当前消息链、执行轮次、待执行的工具调用与 Token 累计，连同已生成的部分回复一并落库，生成中断快照。用户在该会话再次发送消息时，从断点继续执行，本次输入作为补充指令传入，上下文与计费数据无缝衔接，而不是从头再来，可以有效的减少 Token 消耗。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点击停止，框架在安全点保存中断快照，部分输出落库，历史会话完整可查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中断后再次发消息，从断点恢复执行，继续未完成的任务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中断瞬间，执行中的工具在界面即时标记终止，反馈无延迟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执行中的回答也可被新消息调整执行方向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流式断点续传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的流式输出与 HTTP 连接解耦：执行在服务端后台持续推进，事件写入可重放缓冲并携带自增序号。页面刷新、网络抖动或误关页面后，前端携带最后收到的序号发起恢复请求，服务端先瞬时补发错过的事件、再接上实时尾流，输出内容不丢不重；事件游标持久化在浏览器本地，重开页面也能接续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每个流式事件携带自增序号，前端按序号去重，断点精确到事件级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断线自动重连，恢复时补发缺失事件后接实时流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页面刷新 / 关页重开：自动探测进行中的流并全量重放渲染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切换到其他会话不打断后台任务，切回后自动接回实时输出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输入框下方固定展示提示语：智能体也会犯错，回答仅供参考，关键信息请仔细甄别。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仪表盘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仪表盘提供指定时间范围内智能体运行情况的全局统计，由指标卡、趋势图、分布图与 Top 5 榜单组成。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时间范围</w:t>
      </w:r>
      <w:r>
        <w:rPr>
          <w:rFonts w:eastAsia="等线" w:ascii="Arial" w:cs="Arial" w:hAnsi="Arial"/>
          <w:sz w:val="22"/>
        </w:rPr>
        <w:t>：页面右上角提供当天、近 7 天（默认）、近 30 天三个选项，切换后全页图表联动刷新。当天视图按小时统计，近 7 天与近 30 天视图按天统计。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指标卡</w:t>
      </w:r>
      <w:r>
        <w:rPr>
          <w:rFonts w:eastAsia="等线" w:ascii="Arial" w:cs="Arial" w:hAnsi="Arial"/>
          <w:sz w:val="22"/>
        </w:rPr>
        <w:t>：页面顶部展示 6 项核心指标，统计口径如下：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636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统计口径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调用总量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时间范围内的任务调用条数，每发起一次任务计为一条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 Token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范围内全部调用的输入 Token 与输出 Token 之和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总成本（元）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按当前生效模型的单价实时折算，不按历史单价固化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状态为「已完成」的调用占全部调用的百分比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最大耗时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单次调用的最长端到端耗时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平均轮次</w:t>
            </w:r>
          </w:p>
        </w:tc>
        <w:tc>
          <w:tcPr>
            <w:tcW w:w="6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单次调用 LLM 推理轮数（ReAct 轮次）的平均值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趋势图</w:t>
      </w:r>
      <w:r>
        <w:rPr>
          <w:rFonts w:eastAsia="等线" w:ascii="Arial" w:cs="Arial" w:hAnsi="Arial"/>
          <w:sz w:val="22"/>
        </w:rPr>
        <w:t>：共 3 张。调用趋势为柱状图；Token 趋势与成功率为折线图，其中成功率纵轴固定为 0～100%。横轴在当天视图为小时，其余视图为日期，悬停可查看各时间点数值。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分布图</w:t>
      </w:r>
      <w:r>
        <w:rPr>
          <w:rFonts w:eastAsia="等线" w:ascii="Arial" w:cs="Arial" w:hAnsi="Arial"/>
          <w:sz w:val="22"/>
        </w:rPr>
        <w:t>：共 2 张。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工具调用分布：横向堆叠条形图，每个工具对应一条，蓝色表示成功次数、橙色表示失败次数，按调用总次数降序排列。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状态分布：环形图，展示已完成、已中断、错误、运行中四种状态的数量与占比。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 5 榜单</w:t>
      </w:r>
      <w:r>
        <w:rPr>
          <w:rFonts w:eastAsia="等线" w:ascii="Arial" w:cs="Arial" w:hAnsi="Arial"/>
          <w:sz w:val="22"/>
        </w:rPr>
        <w:t>：共 4 个，分别按 Token、耗时、轮次、工具调用次数对调用排名，提问内容超过 40 字时截断显示。点击榜单中的任意一行，将</w:t>
      </w:r>
      <w:r>
        <w:rPr>
          <w:rFonts w:eastAsia="等线" w:ascii="Arial" w:cs="Arial" w:hAnsi="Arial"/>
          <w:sz w:val="22"/>
        </w:rPr>
        <w:t>下钻跳转</w:t>
      </w:r>
      <w:r>
        <w:rPr>
          <w:rFonts w:eastAsia="等线" w:ascii="Arial" w:cs="Arial" w:hAnsi="Arial"/>
          <w:sz w:val="22"/>
        </w:rPr>
        <w:t>至调用追踪页面，自动定位到对应调用。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调用追踪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调用追踪用于查询单次任务的完整执行记录，包括调用列表、统计信息与 Span 轨迹。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调用列表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调用列表按时间倒序展示全部调用记录，页面顶部提供筛选与查询功能：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状态筛选：全部、已完成、已中断、错误、运行中。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关键词搜索：模糊匹配提问内容、会话 ID 与调用 ID，回车或点击「查询」生效；旁边的圆形按钮为刷新。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分页：支持每页 10 / 20 / 50 / 100 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列表字段说明如下：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651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 ID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本次任务的 sessionId，</w:t>
            </w:r>
            <w:r>
              <w:rPr>
                <w:rFonts w:eastAsia="等线" w:ascii="Arial" w:cs="Arial" w:hAnsi="Arial"/>
                <w:sz w:val="22"/>
              </w:rPr>
              <w:t>表示一次调用请求，</w:t>
            </w:r>
            <w:r>
              <w:rPr>
                <w:rFonts w:eastAsia="等线" w:ascii="Arial" w:cs="Arial" w:hAnsi="Arial"/>
                <w:sz w:val="22"/>
              </w:rPr>
              <w:t>提供一键复制按钮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提问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本次任务的第一条用户消息，过长时截断显示，悬停可查看全文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已完成（completed）、已中断（interrupted，用户停止或人工干预）、错误（error）、运行中（running）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耗时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端到端耗时；中断后继续执行完的任务耗时累加；按 ms / s / m s 格式展示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轮次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推理轮数，单轮内模型可并行发起多个工具调用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工具调用总次数；存在失败调用时以橙色标注失败次数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tok / 输出 tok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本次调用累计的 prompt / completion Token 数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成本(元)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按当前生效模型单价实时折算；未配置单价时显示「-」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点击列表任意一行，右侧滑出详情抽屉，默认展示统计页签，统计与轨迹两个页签的数据同时加载。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统计页签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统计页签展示本次调用的汇总指标与上下文分析，包含以下内容。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</w:t>
      </w:r>
      <w:r>
        <w:rPr>
          <w:rFonts w:eastAsia="等线" w:ascii="Arial" w:cs="Arial" w:hAnsi="Arial"/>
          <w:sz w:val="22"/>
        </w:rPr>
        <w:t>：状态徽章、创建时间、提问摘要，以及用户 ID、调用 ID、会话 ID。标题旁的问号图标提供三个 ID 的区别说明。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指标卡</w:t>
      </w:r>
      <w:r>
        <w:rPr>
          <w:rFonts w:eastAsia="等线" w:ascii="Arial" w:cs="Arial" w:hAnsi="Arial"/>
          <w:sz w:val="22"/>
        </w:rPr>
        <w:t>：共 5 项，分别为总耗时、LLM 轮次、工具调用、总 Token、成本（元）。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环形图</w:t>
      </w:r>
      <w:r>
        <w:rPr>
          <w:rFonts w:eastAsia="等线" w:ascii="Arial" w:cs="Arial" w:hAnsi="Arial"/>
          <w:sz w:val="22"/>
        </w:rPr>
        <w:t>：共 4 张，统计口径如下：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633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统计口径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上下文峰值占用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 LLM 轮次中最大输入 Token 数与模型配置上下文窗口的比值，中心显示百分比。取值为压缩前的真实峰值，不受中途压缩影响；未配置上下文窗口时无数据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分布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本次调用输入 Token 与输出 Token 的占比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消息分布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发送给模型的消息按系统、用户、助手、工具四类统计条数，环形中心为消息总数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耗时分布</w:t>
            </w:r>
          </w:p>
        </w:tc>
        <w:tc>
          <w:tcPr>
            <w:tcW w:w="6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总耗时在 LLM 推理与工具执行之间的占比（LLM 耗时 = 总耗时 − 工具耗时）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上下文占比</w:t>
      </w:r>
      <w:r>
        <w:rPr>
          <w:rFonts w:eastAsia="等线" w:ascii="Arial" w:cs="Arial" w:hAnsi="Arial"/>
          <w:sz w:val="22"/>
        </w:rPr>
        <w:t>：以 5 根进度条展示系统、用户、助手、工具、工具定义五类内容占上下文的百分比。该比例按字符数估算：系统提示词与工具定义（请求中 tools 数组的函数 schema）从最后一轮 LLM 请求解析；用户、助手、工具三类内容来自会话消息链统计，其中助手部分包含模型生成的工具调用参数。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每轮 Prompt Token 折线</w:t>
      </w:r>
      <w:r>
        <w:rPr>
          <w:rFonts w:eastAsia="等线" w:ascii="Arial" w:cs="Arial" w:hAnsi="Arial"/>
          <w:sz w:val="22"/>
        </w:rPr>
        <w:t>：横轴为轮次，纵轴为每轮发送给模型的输入 Token 数。该曲线反映上下文的逐轮增长情况；</w:t>
      </w:r>
      <w:r>
        <w:rPr>
          <w:rFonts w:eastAsia="等线" w:ascii="Arial" w:cs="Arial" w:hAnsi="Arial"/>
          <w:b w:val="true"/>
          <w:sz w:val="22"/>
        </w:rPr>
        <w:t>触发上下文压缩后曲线会明显</w:t>
      </w:r>
      <w:r>
        <w:rPr>
          <w:rFonts w:eastAsia="等线" w:ascii="Arial" w:cs="Arial" w:hAnsi="Arial"/>
          <w:b w:val="true"/>
          <w:sz w:val="22"/>
        </w:rPr>
        <w:t>变化，可以很直观的看出整体的 Token 趋势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工具调用统计</w:t>
      </w:r>
      <w:r>
        <w:rPr>
          <w:rFonts w:eastAsia="等线" w:ascii="Arial" w:cs="Arial" w:hAnsi="Arial"/>
          <w:sz w:val="22"/>
        </w:rPr>
        <w:t>：横向条形图，每个工具对应一条并按调用次数降序排列；悬停展示调用次数、总耗时、平均耗时与最大耗时。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023"/>
        <w:gridCol w:w="4256"/>
      </w:tblGrid>
      <w:tr>
        <w:tc>
          <w:tcPr>
            <w:tcW w:w="402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00300" cy="25717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43175" cy="258127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轨迹页签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轨迹页签展示本次调用的完整 Span 执行序列及每个 Span 的详细内容。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指标卡</w:t>
      </w:r>
      <w:r>
        <w:rPr>
          <w:rFonts w:eastAsia="等线" w:ascii="Arial" w:cs="Arial" w:hAnsi="Arial"/>
          <w:sz w:val="22"/>
        </w:rPr>
        <w:t>：顶部共 6 项，分别为对话轮次、工具调用、工具失败（数值非零时标红）、Token 合计、工具耗时、总时长。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导出调用链</w:t>
      </w:r>
      <w:r>
        <w:rPr>
          <w:rFonts w:eastAsia="等线" w:ascii="Arial" w:cs="Arial" w:hAnsi="Arial"/>
          <w:sz w:val="22"/>
        </w:rPr>
        <w:t xml:space="preserve">：点击右上角「导出调用链」按钮下载 JSON 文件，文件名为 </w:t>
      </w:r>
      <w:r>
        <w:rPr>
          <w:rFonts w:eastAsia="Consolas" w:ascii="Consolas" w:cs="Consolas" w:hAnsi="Consolas"/>
          <w:sz w:val="22"/>
          <w:shd w:fill="EFF0F1"/>
        </w:rPr>
        <w:t>调用链_&lt;调用ID&gt;.json</w:t>
      </w:r>
      <w:r>
        <w:rPr>
          <w:rFonts w:eastAsia="等线" w:ascii="Arial" w:cs="Arial" w:hAnsi="Arial"/>
          <w:sz w:val="22"/>
        </w:rPr>
        <w:t>。文件由前端逐个拉取本次调用全部 Span 的全文后打包生成，内容包含汇总指标、工具度量，以及每个 Span 的类型、轮次、耗时、Token、执行结果、完整入参、出参、思考内容与错误信息，可用于离线排查与归档。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执行序列</w:t>
      </w:r>
      <w:r>
        <w:rPr>
          <w:rFonts w:eastAsia="等线" w:ascii="Arial" w:cs="Arial" w:hAnsi="Arial"/>
          <w:sz w:val="22"/>
        </w:rPr>
        <w:t>：左侧按执行顺序展示并按轮次分组，条目分为四类：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00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条目类型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一次上下文压缩动作（COMPACT Span），显示压缩器名称与耗时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压缩时生成摘要的 LLM 调用，挂载于对应「压缩」条目下，显示该次调用的输入→输出 Token 与耗时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一次模型推理，标注 Round N、耗时及成功 ✓ / 失败 ✗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一次工具执行，标注工具名称、耗时及成功 / 失败标记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Span 详情</w:t>
      </w:r>
      <w:r>
        <w:rPr>
          <w:rFonts w:eastAsia="等线" w:ascii="Arial" w:cs="Arial" w:hAnsi="Arial"/>
          <w:sz w:val="22"/>
        </w:rPr>
        <w:t>：点击左侧任意条目，右侧展示该 Span 的完整内容。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头部信息：类型标签（LLM / TOOL / 压缩）、工具名称、所属 Round、耗时；LLM 条目额外显示 Prompt（↑）与 Completion（↓）Token 数。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正文分为四个区块：入参（JSON 折叠树，默认展开两层；非 JSON 内容以纯文本展示）、思考（模型推理内容，纯文本）、出参（JSON 折叠树）、错误（仅执行失败时出现，红色展示）。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各区块右上角提供复制按钮，可复制该区块完整原文。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顶部搜索框支持全文检索：输入关键字后 JSON 全部展开并高亮匹配项，显示「当前 / 总数」；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077"/>
        <w:gridCol w:w="4202"/>
      </w:tblGrid>
      <w:tr>
        <w:tc>
          <w:tcPr>
            <w:tcW w:w="40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28875" cy="33528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14600" cy="336232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6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三个 ID 的区别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统计页签基本信息区的问号图标提供同样说明，跨平台排查（如对照 Opik）时需使用以下三个标识：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65"/>
        <w:gridCol w:w="5415"/>
      </w:tblGrid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ID（userId）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当前登录用户的唯一标识。在 Opik 中可按 opik.metadata.userId 筛选本人的调用链路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 ID（sessionId）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一次任务执行的唯一标识。一次任务可包含多轮推理与多次工具调用，仅对应一个调用 ID</w:t>
            </w:r>
          </w:p>
        </w:tc>
      </w:tr>
      <w:tr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ID（conversationId）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一个对话窗口的唯一标识。一个会话内可连续发起多次任务，因此一个会话 ID 通常对应多个调用 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单次调用的费用可在调用列表「成本(元)」列与统计页签指标卡中查看；时间段内的总费用见仪表盘「总成本（元）」指标，费用计算规则见「模型配置」一章。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Skills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模块用于管理平台内置技能与个人技能包，技能分为两组：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900"/>
        <w:gridCol w:w="301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可用操作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平台技能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平台内置技能，对所有用户可用，卡片带「内置」标识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只读，删除按钮禁用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我的技能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用户自行上传的技能，仅本人可用，上传后默认启用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上传、启用 / 停用、删除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上传技能</w:t>
      </w:r>
      <w:r>
        <w:rPr>
          <w:rFonts w:eastAsia="等线" w:ascii="Arial" w:cs="Arial" w:hAnsi="Arial"/>
          <w:sz w:val="22"/>
        </w:rPr>
        <w:t>：通过页面右上角「上传 Skill (.zip)」区域选择 zip 文件，或将 zip 文件拖拽至上传区域完成上传。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启用与删除</w:t>
      </w:r>
      <w:r>
        <w:rPr>
          <w:rFonts w:eastAsia="等线" w:ascii="Arial" w:cs="Arial" w:hAnsi="Arial"/>
          <w:sz w:val="22"/>
        </w:rPr>
        <w:t>：通过卡片左上角开关启用或停用技能；通过卡片右下角垃圾桶图标删除技能。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用户尚未上传技能时，页面显示空状态提示：「暂无个人技能，上传 .zip 安装到『我的技能』」。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工作区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工作区用于管理 Agent </w:t>
      </w:r>
      <w:r>
        <w:rPr>
          <w:rFonts w:eastAsia="等线" w:ascii="Arial" w:cs="Arial" w:hAnsi="Arial"/>
          <w:b w:val="true"/>
          <w:sz w:val="22"/>
        </w:rPr>
        <w:t>在沙箱中读写产生的</w:t>
      </w:r>
      <w:r>
        <w:rPr>
          <w:rFonts w:eastAsia="等线" w:ascii="Arial" w:cs="Arial" w:hAnsi="Arial"/>
          <w:b w:val="true"/>
          <w:sz w:val="22"/>
        </w:rPr>
        <w:t>中间状态</w:t>
      </w:r>
      <w:r>
        <w:rPr>
          <w:rFonts w:eastAsia="等线" w:ascii="Arial" w:cs="Arial" w:hAnsi="Arial"/>
          <w:b w:val="true"/>
          <w:sz w:val="22"/>
        </w:rPr>
        <w:t>文件</w:t>
      </w:r>
      <w:r>
        <w:rPr>
          <w:rFonts w:eastAsia="等线" w:ascii="Arial" w:cs="Arial" w:hAnsi="Arial"/>
          <w:sz w:val="22"/>
        </w:rPr>
        <w:t>，文件按用户隔离。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浏览与导航</w:t>
      </w:r>
      <w:r>
        <w:rPr>
          <w:rFonts w:eastAsia="等线" w:ascii="Arial" w:cs="Arial" w:hAnsi="Arial"/>
          <w:sz w:val="22"/>
        </w:rPr>
        <w:t>：面包屑展示当前路径，支持点击「根目录」或任意上级目录回退，也可使用「上一级」按钮；文件夹可点击进入，列表展示文件名称、大小与修改时间。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预览与下载</w:t>
      </w:r>
      <w:r>
        <w:rPr>
          <w:rFonts w:eastAsia="等线" w:ascii="Arial" w:cs="Arial" w:hAnsi="Arial"/>
          <w:sz w:val="22"/>
        </w:rPr>
        <w:t>：点击文件行的「查看」打开预览，图片直接展示，文本文件以等宽字体展示。单文件通过「下载」按钮下载；勾选多个文件后点击「下载(N)」打包为 zip 下载。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</w:t>
      </w:r>
      <w:r>
        <w:rPr>
          <w:rFonts w:eastAsia="等线" w:ascii="Arial" w:cs="Arial" w:hAnsi="Arial"/>
          <w:sz w:val="22"/>
        </w:rPr>
        <w:t>：在搜索框输入关键词回车，列表切换为搜索结果并展示文件完整路径，点击「返回目录」退出搜索。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</w:t>
      </w:r>
      <w:r>
        <w:rPr>
          <w:rFonts w:eastAsia="等线" w:ascii="Arial" w:cs="Arial" w:hAnsi="Arial"/>
          <w:sz w:val="22"/>
        </w:rPr>
        <w:t>：行内「删除」用于删除单个文件或目录；勾选后点击「删除(N)」批量删除。删除操作均弹出确认框。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「清理工作区」将删除当前用户工作区内的</w:t>
            </w:r>
            <w:r>
              <w:rPr>
                <w:rFonts w:eastAsia="等线" w:ascii="Arial" w:cs="Arial" w:hAnsi="Arial"/>
                <w:b w:val="true"/>
                <w:sz w:val="22"/>
              </w:rPr>
              <w:t>全部文件且不可恢复</w:t>
            </w:r>
            <w:r>
              <w:rPr>
                <w:rFonts w:eastAsia="等线" w:ascii="Arial" w:cs="Arial" w:hAnsi="Arial"/>
                <w:sz w:val="22"/>
              </w:rPr>
              <w:t>，并非仅清理冗余文件，操作前请务必确认。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个人中心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个人中心用于管理当前用户的个人资料、登录密码、Opik 同步与沙箱设置。入口为左侧导航栏左下角的用户卡片（显示头像与昵称）。弹层包含四个页签，底部为「退出登录」按钮。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sz w:val="32"/>
        </w:rPr>
        <w:t>个人信息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资料维护：修改昵称、真实姓名与邮箱。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换绑手机号：填写新手机号与验证码后提交。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ID：展示当前用户 ID 并提供一键复制，用于在 Opik 中按 opik.metadata.userId 筛选本人的调用链路。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sz w:val="32"/>
        </w:rPr>
        <w:t>密码设置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输入旧密码与新密码修改登录密码，修改完成后需使用新密码重新登录。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9.3 </w:t>
      </w:r>
      <w:r>
        <w:rPr>
          <w:rFonts w:eastAsia="等线" w:ascii="Arial" w:cs="Arial" w:hAnsi="Arial"/>
          <w:b w:val="true"/>
          <w:sz w:val="32"/>
        </w:rPr>
        <w:t>Otel 同步设置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该页签用于配置将调用链通过 OTLP 协议导出至 Opik 观测平台。同步开关为用户级配置，由各用户自行开启；OTel 地址、Comet-Workspace、Project Name 为平台统一配置的全局参数，</w:t>
      </w:r>
      <w:r>
        <w:rPr>
          <w:rFonts w:eastAsia="等线" w:ascii="Arial" w:cs="Arial" w:hAnsi="Arial"/>
          <w:sz w:val="22"/>
        </w:rPr>
        <w:t>为了方便演示，这里</w:t>
      </w:r>
      <w:r>
        <w:rPr>
          <w:rFonts w:eastAsia="等线" w:ascii="Arial" w:cs="Arial" w:hAnsi="Arial"/>
          <w:sz w:val="22"/>
        </w:rPr>
        <w:t>页面</w:t>
      </w:r>
      <w:r>
        <w:rPr>
          <w:rFonts w:eastAsia="等线" w:ascii="Arial" w:cs="Arial" w:hAnsi="Arial"/>
          <w:sz w:val="22"/>
        </w:rPr>
        <w:t>预置好相关数据，</w:t>
      </w:r>
      <w:r>
        <w:rPr>
          <w:rFonts w:eastAsia="等线" w:ascii="Arial" w:cs="Arial" w:hAnsi="Arial"/>
          <w:sz w:val="22"/>
        </w:rPr>
        <w:t>仅展示、不可修改。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开启步骤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点击「连通性测试」验证端点可达。测试通过前「同步到 Opik」开关为禁用状态；未测试直接保存时提示「请先通过连通性测试」。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测试通过后勾选「同步到 Opik」，点击「保存设置」完成开启。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链路标识与导出范围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导出的每条链路均携带用户标识，在 Opik 中按 </w:t>
      </w:r>
      <w:r>
        <w:rPr>
          <w:rFonts w:eastAsia="Consolas" w:ascii="Consolas" w:cs="Consolas" w:hAnsi="Consolas"/>
          <w:sz w:val="22"/>
          <w:shd w:fill="EFF0F1"/>
        </w:rPr>
        <w:t>opik.metadata.userId</w:t>
      </w:r>
      <w:r>
        <w:rPr>
          <w:rFonts w:eastAsia="等线" w:ascii="Arial" w:cs="Arial" w:hAnsi="Arial"/>
          <w:sz w:val="22"/>
        </w:rPr>
        <w:t xml:space="preserve"> 筛选即可查看本人的调用。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导出范围仅包含 Agent 调用链（agent / LLM span），HTTP 请求、定时任务 等框架层 span 不导出。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9.4 </w:t>
      </w:r>
      <w:r>
        <w:rPr>
          <w:rFonts w:eastAsia="等线" w:ascii="Arial" w:cs="Arial" w:hAnsi="Arial"/>
          <w:b w:val="true"/>
          <w:sz w:val="32"/>
        </w:rPr>
        <w:t>沙箱设置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沙箱为 Agent 执行命令与读写文件提供隔离运行环境。默认采用兄弟容器模式：应用容器挂载 </w:t>
      </w:r>
      <w:r>
        <w:rPr>
          <w:rFonts w:eastAsia="Consolas" w:ascii="Consolas" w:cs="Consolas" w:hAnsi="Consolas"/>
          <w:sz w:val="22"/>
          <w:shd w:fill="EFF0F1"/>
        </w:rPr>
        <w:t>/var/run/docker.sock</w:t>
      </w:r>
      <w:r>
        <w:rPr>
          <w:rFonts w:eastAsia="等线" w:ascii="Arial" w:cs="Arial" w:hAnsi="Arial"/>
          <w:sz w:val="22"/>
        </w:rPr>
        <w:t>，通过宿主机 Docker 创建与应用容器平级的沙箱容器，而非 Docker in Docker。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沙箱容器以用户为维度来启停，当然AgentX框架支持User级别和会话级别两种沙箱模式，Tracer这边选择的是User隔离级别，每个用户一个独立的沙箱工作区。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隔离粒度</w:t>
      </w:r>
      <w:r>
        <w:rPr>
          <w:rFonts w:eastAsia="等线" w:ascii="Arial" w:cs="Arial" w:hAnsi="Arial"/>
          <w:sz w:val="22"/>
        </w:rPr>
        <w:t>：按用户创建沙箱容器，容器名称为 agentx-sandbox-&lt;用户ID&gt;，不同用户的容器互不可见。容器在首次触发时创建并常驻复用，不重复起停。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目录映射</w:t>
      </w:r>
      <w:r>
        <w:rPr>
          <w:rFonts w:eastAsia="等线" w:ascii="Arial" w:cs="Arial" w:hAnsi="Arial"/>
          <w:sz w:val="22"/>
        </w:rPr>
        <w:t>：沙箱内 /app/workspace/&lt;用户ID&gt; 映射宿主机 workspace/&lt;用户ID&gt;，与「工作区」页面展示的文件为同一份。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沙箱开关</w:t>
      </w:r>
      <w:r>
        <w:rPr>
          <w:rFonts w:eastAsia="等线" w:ascii="Arial" w:cs="Arial" w:hAnsi="Arial"/>
          <w:sz w:val="22"/>
        </w:rPr>
        <w:t>：通过「启用沙箱执行」开关控制，切换后即时保存，默认开启。关闭后，工具（bash、文件、代码搜索等）将直接在应用容器内执行，失去隔离边界，生产环境建议保持开启。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依赖与限制</w:t>
      </w:r>
      <w:r>
        <w:rPr>
          <w:rFonts w:eastAsia="等线" w:ascii="Arial" w:cs="Arial" w:hAnsi="Arial"/>
          <w:sz w:val="22"/>
        </w:rPr>
        <w:t>：沙箱依赖宿主机 Docker 与 python:3.12 镜像，镜像缺失的处理方法见</w:t>
      </w:r>
      <w:hyperlink r:id="rId24">
        <w:r>
          <w:rPr>
            <w:rFonts w:eastAsia="等线" w:ascii="Arial" w:cs="Arial" w:hAnsi="Arial"/>
            <w:color w:val="3370ff"/>
            <w:sz w:val="22"/>
          </w:rPr>
          <w:t>AgentX Tracer 安装部署指南</w:t>
        </w:r>
      </w:hyperlink>
      <w:r>
        <w:rPr>
          <w:rFonts w:eastAsia="等线" w:ascii="Arial" w:cs="Arial" w:hAnsi="Arial"/>
          <w:sz w:val="22"/>
        </w:rPr>
        <w:t>常见问题。同一台宿主机并行部署多套平台实例时，相同用户 ID 会复用同一个沙箱容器，建议不同实例使用独立的用户体系。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88250">
    <w:lvl>
      <w:start w:val="1"/>
      <w:numFmt w:val="decimal"/>
      <w:suff w:val="tab"/>
      <w:lvlText w:val="%1."/>
      <w:rPr>
        <w:color w:val="3370ff"/>
      </w:rPr>
    </w:lvl>
  </w:abstractNum>
  <w:abstractNum w:abstractNumId="888251">
    <w:lvl>
      <w:start w:val="2"/>
      <w:numFmt w:val="decimal"/>
      <w:suff w:val="tab"/>
      <w:lvlText w:val="%1."/>
      <w:rPr>
        <w:color w:val="3370ff"/>
      </w:rPr>
    </w:lvl>
  </w:abstractNum>
  <w:abstractNum w:abstractNumId="888252">
    <w:lvl>
      <w:start w:val="3"/>
      <w:numFmt w:val="decimal"/>
      <w:suff w:val="tab"/>
      <w:lvlText w:val="%1."/>
      <w:rPr>
        <w:color w:val="3370ff"/>
      </w:rPr>
    </w:lvl>
  </w:abstractNum>
  <w:abstractNum w:abstractNumId="888253">
    <w:lvl>
      <w:start w:val="4"/>
      <w:numFmt w:val="decimal"/>
      <w:suff w:val="tab"/>
      <w:lvlText w:val="%1."/>
      <w:rPr>
        <w:color w:val="3370ff"/>
      </w:rPr>
    </w:lvl>
  </w:abstractNum>
  <w:abstractNum w:abstractNumId="888254">
    <w:lvl>
      <w:numFmt w:val="bullet"/>
      <w:suff w:val="tab"/>
      <w:lvlText w:val="•"/>
      <w:rPr>
        <w:color w:val="3370ff"/>
      </w:rPr>
    </w:lvl>
  </w:abstractNum>
  <w:abstractNum w:abstractNumId="888255">
    <w:lvl>
      <w:numFmt w:val="bullet"/>
      <w:suff w:val="tab"/>
      <w:lvlText w:val="•"/>
      <w:rPr>
        <w:color w:val="3370ff"/>
      </w:rPr>
    </w:lvl>
  </w:abstractNum>
  <w:abstractNum w:abstractNumId="888256">
    <w:lvl>
      <w:numFmt w:val="bullet"/>
      <w:suff w:val="tab"/>
      <w:lvlText w:val="•"/>
      <w:rPr>
        <w:color w:val="3370ff"/>
      </w:rPr>
    </w:lvl>
  </w:abstractNum>
  <w:abstractNum w:abstractNumId="888257">
    <w:lvl>
      <w:numFmt w:val="bullet"/>
      <w:suff w:val="tab"/>
      <w:lvlText w:val="•"/>
      <w:rPr>
        <w:color w:val="3370ff"/>
      </w:rPr>
    </w:lvl>
  </w:abstractNum>
  <w:abstractNum w:abstractNumId="888258">
    <w:lvl>
      <w:numFmt w:val="bullet"/>
      <w:suff w:val="tab"/>
      <w:lvlText w:val="•"/>
      <w:rPr>
        <w:color w:val="3370ff"/>
      </w:rPr>
    </w:lvl>
  </w:abstractNum>
  <w:abstractNum w:abstractNumId="888259">
    <w:lvl>
      <w:numFmt w:val="bullet"/>
      <w:suff w:val="tab"/>
      <w:lvlText w:val="•"/>
      <w:rPr>
        <w:color w:val="3370ff"/>
      </w:rPr>
    </w:lvl>
  </w:abstractNum>
  <w:abstractNum w:abstractNumId="888260">
    <w:lvl>
      <w:numFmt w:val="bullet"/>
      <w:suff w:val="tab"/>
      <w:lvlText w:val="•"/>
      <w:rPr>
        <w:color w:val="3370ff"/>
      </w:rPr>
    </w:lvl>
  </w:abstractNum>
  <w:abstractNum w:abstractNumId="888261">
    <w:lvl>
      <w:numFmt w:val="bullet"/>
      <w:suff w:val="tab"/>
      <w:lvlText w:val="•"/>
      <w:rPr>
        <w:color w:val="3370ff"/>
      </w:rPr>
    </w:lvl>
  </w:abstractNum>
  <w:abstractNum w:abstractNumId="888262">
    <w:lvl>
      <w:numFmt w:val="bullet"/>
      <w:suff w:val="tab"/>
      <w:lvlText w:val="•"/>
      <w:rPr>
        <w:color w:val="3370ff"/>
      </w:rPr>
    </w:lvl>
  </w:abstractNum>
  <w:abstractNum w:abstractNumId="888263">
    <w:lvl>
      <w:numFmt w:val="bullet"/>
      <w:suff w:val="tab"/>
      <w:lvlText w:val="•"/>
      <w:rPr>
        <w:color w:val="3370ff"/>
      </w:rPr>
    </w:lvl>
  </w:abstractNum>
  <w:abstractNum w:abstractNumId="888264">
    <w:lvl>
      <w:numFmt w:val="bullet"/>
      <w:suff w:val="tab"/>
      <w:lvlText w:val="•"/>
      <w:rPr>
        <w:color w:val="3370ff"/>
      </w:rPr>
    </w:lvl>
  </w:abstractNum>
  <w:abstractNum w:abstractNumId="888265">
    <w:lvl>
      <w:numFmt w:val="bullet"/>
      <w:suff w:val="tab"/>
      <w:lvlText w:val="•"/>
      <w:rPr>
        <w:color w:val="3370ff"/>
      </w:rPr>
    </w:lvl>
  </w:abstractNum>
  <w:abstractNum w:abstractNumId="888266">
    <w:lvl>
      <w:numFmt w:val="bullet"/>
      <w:suff w:val="tab"/>
      <w:lvlText w:val="•"/>
      <w:rPr>
        <w:color w:val="3370ff"/>
      </w:rPr>
    </w:lvl>
  </w:abstractNum>
  <w:abstractNum w:abstractNumId="888267">
    <w:lvl>
      <w:numFmt w:val="bullet"/>
      <w:suff w:val="tab"/>
      <w:lvlText w:val="•"/>
      <w:rPr>
        <w:color w:val="3370ff"/>
      </w:rPr>
    </w:lvl>
  </w:abstractNum>
  <w:abstractNum w:abstractNumId="888268">
    <w:lvl>
      <w:numFmt w:val="bullet"/>
      <w:suff w:val="tab"/>
      <w:lvlText w:val="•"/>
      <w:rPr>
        <w:color w:val="3370ff"/>
      </w:rPr>
    </w:lvl>
  </w:abstractNum>
  <w:abstractNum w:abstractNumId="888269">
    <w:lvl>
      <w:numFmt w:val="bullet"/>
      <w:suff w:val="tab"/>
      <w:lvlText w:val="•"/>
      <w:rPr>
        <w:color w:val="3370ff"/>
      </w:rPr>
    </w:lvl>
  </w:abstractNum>
  <w:abstractNum w:abstractNumId="888270">
    <w:lvl>
      <w:numFmt w:val="bullet"/>
      <w:suff w:val="tab"/>
      <w:lvlText w:val="•"/>
      <w:rPr>
        <w:color w:val="3370ff"/>
      </w:rPr>
    </w:lvl>
  </w:abstractNum>
  <w:abstractNum w:abstractNumId="888271">
    <w:lvl>
      <w:numFmt w:val="bullet"/>
      <w:suff w:val="tab"/>
      <w:lvlText w:val="•"/>
      <w:rPr>
        <w:color w:val="3370ff"/>
      </w:rPr>
    </w:lvl>
  </w:abstractNum>
  <w:abstractNum w:abstractNumId="888272">
    <w:lvl>
      <w:numFmt w:val="bullet"/>
      <w:suff w:val="tab"/>
      <w:lvlText w:val="•"/>
      <w:rPr>
        <w:color w:val="3370ff"/>
      </w:rPr>
    </w:lvl>
  </w:abstractNum>
  <w:abstractNum w:abstractNumId="888273">
    <w:lvl>
      <w:numFmt w:val="bullet"/>
      <w:suff w:val="tab"/>
      <w:lvlText w:val="•"/>
      <w:rPr>
        <w:color w:val="3370ff"/>
      </w:rPr>
    </w:lvl>
  </w:abstractNum>
  <w:abstractNum w:abstractNumId="888274">
    <w:lvl>
      <w:numFmt w:val="bullet"/>
      <w:suff w:val="tab"/>
      <w:lvlText w:val="•"/>
      <w:rPr>
        <w:color w:val="3370ff"/>
      </w:rPr>
    </w:lvl>
  </w:abstractNum>
  <w:abstractNum w:abstractNumId="888275">
    <w:lvl>
      <w:numFmt w:val="bullet"/>
      <w:suff w:val="tab"/>
      <w:lvlText w:val="•"/>
      <w:rPr>
        <w:color w:val="3370ff"/>
      </w:rPr>
    </w:lvl>
  </w:abstractNum>
  <w:abstractNum w:abstractNumId="888276">
    <w:lvl>
      <w:numFmt w:val="bullet"/>
      <w:suff w:val="tab"/>
      <w:lvlText w:val="•"/>
      <w:rPr>
        <w:color w:val="3370ff"/>
      </w:rPr>
    </w:lvl>
  </w:abstractNum>
  <w:abstractNum w:abstractNumId="888277">
    <w:lvl>
      <w:numFmt w:val="bullet"/>
      <w:suff w:val="tab"/>
      <w:lvlText w:val="•"/>
      <w:rPr>
        <w:color w:val="3370ff"/>
      </w:rPr>
    </w:lvl>
  </w:abstractNum>
  <w:abstractNum w:abstractNumId="888278">
    <w:lvl>
      <w:numFmt w:val="bullet"/>
      <w:suff w:val="tab"/>
      <w:lvlText w:val="•"/>
      <w:rPr>
        <w:color w:val="3370ff"/>
      </w:rPr>
    </w:lvl>
  </w:abstractNum>
  <w:abstractNum w:abstractNumId="888279">
    <w:lvl>
      <w:numFmt w:val="bullet"/>
      <w:suff w:val="tab"/>
      <w:lvlText w:val="•"/>
      <w:rPr>
        <w:color w:val="3370ff"/>
      </w:rPr>
    </w:lvl>
  </w:abstractNum>
  <w:abstractNum w:abstractNumId="888280">
    <w:lvl>
      <w:numFmt w:val="bullet"/>
      <w:suff w:val="tab"/>
      <w:lvlText w:val="•"/>
      <w:rPr>
        <w:color w:val="3370ff"/>
      </w:rPr>
    </w:lvl>
  </w:abstractNum>
  <w:abstractNum w:abstractNumId="888281">
    <w:lvl>
      <w:numFmt w:val="bullet"/>
      <w:suff w:val="tab"/>
      <w:lvlText w:val="•"/>
      <w:rPr>
        <w:color w:val="3370ff"/>
      </w:rPr>
    </w:lvl>
  </w:abstractNum>
  <w:abstractNum w:abstractNumId="888282">
    <w:lvl>
      <w:numFmt w:val="bullet"/>
      <w:suff w:val="tab"/>
      <w:lvlText w:val="•"/>
      <w:rPr>
        <w:color w:val="3370ff"/>
      </w:rPr>
    </w:lvl>
  </w:abstractNum>
  <w:abstractNum w:abstractNumId="888283">
    <w:lvl>
      <w:numFmt w:val="bullet"/>
      <w:suff w:val="tab"/>
      <w:lvlText w:val="•"/>
      <w:rPr>
        <w:color w:val="3370ff"/>
      </w:rPr>
    </w:lvl>
  </w:abstractNum>
  <w:abstractNum w:abstractNumId="888284">
    <w:lvl>
      <w:numFmt w:val="bullet"/>
      <w:suff w:val="tab"/>
      <w:lvlText w:val="•"/>
      <w:rPr>
        <w:color w:val="3370ff"/>
      </w:rPr>
    </w:lvl>
  </w:abstractNum>
  <w:abstractNum w:abstractNumId="888285">
    <w:lvl>
      <w:numFmt w:val="bullet"/>
      <w:suff w:val="tab"/>
      <w:lvlText w:val="•"/>
      <w:rPr>
        <w:color w:val="3370ff"/>
      </w:rPr>
    </w:lvl>
  </w:abstractNum>
  <w:abstractNum w:abstractNumId="888286">
    <w:lvl>
      <w:start w:val="1"/>
      <w:numFmt w:val="decimal"/>
      <w:suff w:val="tab"/>
      <w:lvlText w:val="%1."/>
      <w:rPr>
        <w:color w:val="3370ff"/>
      </w:rPr>
    </w:lvl>
  </w:abstractNum>
  <w:abstractNum w:abstractNumId="888287">
    <w:lvl>
      <w:start w:val="2"/>
      <w:numFmt w:val="decimal"/>
      <w:suff w:val="tab"/>
      <w:lvlText w:val="%1."/>
      <w:rPr>
        <w:color w:val="3370ff"/>
      </w:rPr>
    </w:lvl>
  </w:abstractNum>
  <w:abstractNum w:abstractNumId="888288">
    <w:lvl>
      <w:numFmt w:val="bullet"/>
      <w:suff w:val="tab"/>
      <w:lvlText w:val="•"/>
      <w:rPr>
        <w:color w:val="3370ff"/>
      </w:rPr>
    </w:lvl>
  </w:abstractNum>
  <w:abstractNum w:abstractNumId="888289">
    <w:lvl>
      <w:numFmt w:val="bullet"/>
      <w:suff w:val="tab"/>
      <w:lvlText w:val="•"/>
      <w:rPr>
        <w:color w:val="3370ff"/>
      </w:rPr>
    </w:lvl>
  </w:abstractNum>
  <w:abstractNum w:abstractNumId="888290">
    <w:lvl>
      <w:numFmt w:val="bullet"/>
      <w:suff w:val="tab"/>
      <w:lvlText w:val="•"/>
      <w:rPr>
        <w:color w:val="3370ff"/>
      </w:rPr>
    </w:lvl>
  </w:abstractNum>
  <w:abstractNum w:abstractNumId="888291">
    <w:lvl>
      <w:numFmt w:val="bullet"/>
      <w:suff w:val="tab"/>
      <w:lvlText w:val="•"/>
      <w:rPr>
        <w:color w:val="3370ff"/>
      </w:rPr>
    </w:lvl>
  </w:abstractNum>
  <w:abstractNum w:abstractNumId="888292">
    <w:lvl>
      <w:numFmt w:val="bullet"/>
      <w:suff w:val="tab"/>
      <w:lvlText w:val="•"/>
      <w:rPr>
        <w:color w:val="3370ff"/>
      </w:rPr>
    </w:lvl>
  </w:abstractNum>
  <w:abstractNum w:abstractNumId="888293">
    <w:lvl>
      <w:numFmt w:val="bullet"/>
      <w:suff w:val="tab"/>
      <w:lvlText w:val="•"/>
      <w:rPr>
        <w:color w:val="3370ff"/>
      </w:rPr>
    </w:lvl>
  </w:abstractNum>
  <w:num w:numId="1">
    <w:abstractNumId w:val="888250"/>
  </w:num>
  <w:num w:numId="2">
    <w:abstractNumId w:val="888251"/>
  </w:num>
  <w:num w:numId="3">
    <w:abstractNumId w:val="888252"/>
  </w:num>
  <w:num w:numId="4">
    <w:abstractNumId w:val="888253"/>
  </w:num>
  <w:num w:numId="5">
    <w:abstractNumId w:val="888254"/>
  </w:num>
  <w:num w:numId="6">
    <w:abstractNumId w:val="888255"/>
  </w:num>
  <w:num w:numId="7">
    <w:abstractNumId w:val="888256"/>
  </w:num>
  <w:num w:numId="8">
    <w:abstractNumId w:val="888257"/>
  </w:num>
  <w:num w:numId="9">
    <w:abstractNumId w:val="888258"/>
  </w:num>
  <w:num w:numId="10">
    <w:abstractNumId w:val="888259"/>
  </w:num>
  <w:num w:numId="11">
    <w:abstractNumId w:val="888260"/>
  </w:num>
  <w:num w:numId="12">
    <w:abstractNumId w:val="888261"/>
  </w:num>
  <w:num w:numId="13">
    <w:abstractNumId w:val="888262"/>
  </w:num>
  <w:num w:numId="14">
    <w:abstractNumId w:val="888263"/>
  </w:num>
  <w:num w:numId="15">
    <w:abstractNumId w:val="888264"/>
  </w:num>
  <w:num w:numId="16">
    <w:abstractNumId w:val="888265"/>
  </w:num>
  <w:num w:numId="17">
    <w:abstractNumId w:val="888266"/>
  </w:num>
  <w:num w:numId="18">
    <w:abstractNumId w:val="888267"/>
  </w:num>
  <w:num w:numId="19">
    <w:abstractNumId w:val="888268"/>
  </w:num>
  <w:num w:numId="20">
    <w:abstractNumId w:val="888269"/>
  </w:num>
  <w:num w:numId="21">
    <w:abstractNumId w:val="888270"/>
  </w:num>
  <w:num w:numId="22">
    <w:abstractNumId w:val="888271"/>
  </w:num>
  <w:num w:numId="23">
    <w:abstractNumId w:val="888272"/>
  </w:num>
  <w:num w:numId="24">
    <w:abstractNumId w:val="888273"/>
  </w:num>
  <w:num w:numId="25">
    <w:abstractNumId w:val="888274"/>
  </w:num>
  <w:num w:numId="26">
    <w:abstractNumId w:val="888275"/>
  </w:num>
  <w:num w:numId="27">
    <w:abstractNumId w:val="888276"/>
  </w:num>
  <w:num w:numId="28">
    <w:abstractNumId w:val="888277"/>
  </w:num>
  <w:num w:numId="29">
    <w:abstractNumId w:val="888278"/>
  </w:num>
  <w:num w:numId="30">
    <w:abstractNumId w:val="888279"/>
  </w:num>
  <w:num w:numId="31">
    <w:abstractNumId w:val="888280"/>
  </w:num>
  <w:num w:numId="32">
    <w:abstractNumId w:val="888281"/>
  </w:num>
  <w:num w:numId="33">
    <w:abstractNumId w:val="888282"/>
  </w:num>
  <w:num w:numId="34">
    <w:abstractNumId w:val="888283"/>
  </w:num>
  <w:num w:numId="35">
    <w:abstractNumId w:val="888284"/>
  </w:num>
  <w:num w:numId="36">
    <w:abstractNumId w:val="888285"/>
  </w:num>
  <w:num w:numId="37">
    <w:abstractNumId w:val="888286"/>
  </w:num>
  <w:num w:numId="38">
    <w:abstractNumId w:val="888287"/>
  </w:num>
  <w:num w:numId="39">
    <w:abstractNumId w:val="888288"/>
  </w:num>
  <w:num w:numId="40">
    <w:abstractNumId w:val="888289"/>
  </w:num>
  <w:num w:numId="41">
    <w:abstractNumId w:val="888290"/>
  </w:num>
  <w:num w:numId="42">
    <w:abstractNumId w:val="888291"/>
  </w:num>
  <w:num w:numId="43">
    <w:abstractNumId w:val="888292"/>
  </w:num>
  <w:num w:numId="44">
    <w:abstractNumId w:val="8882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https://my.feishu.cn/docx/Ahted3IoEo6IiixUAMrcI909npb" TargetMode="External" Type="http://schemas.openxmlformats.org/officeDocument/2006/relationships/hyperlink"/><Relationship Id="rId25" Target="media/image19.png" Type="http://schemas.openxmlformats.org/officeDocument/2006/relationships/image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https://asiainfo-sec.feishu.cn/docx/KpG6d5VLfoKOXOx6atacgkAqnk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numbering.xml" Type="http://schemas.openxmlformats.org/officeDocument/2006/relationships/numbering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2026-10-10T06:55:50Z</dcterms:created>
  <dc:creator>Apache POI</dc:creator>
</cp:coreProperties>
</file>