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color w:val="auto"/>
          <w:sz w:val="28"/>
          <w:szCs w:val="24"/>
        </w:rPr>
      </w:pPr>
      <w:r>
        <w:rPr>
          <w:b/>
          <w:color w:val="auto"/>
          <w:sz w:val="28"/>
          <w:szCs w:val="24"/>
        </w:rPr>
        <w:t>大数据分析与应用实验室学术活动条例</w:t>
      </w:r>
    </w:p>
    <w:p>
      <w:pPr>
        <w:pStyle w:val="5"/>
        <w:numPr>
          <w:ilvl w:val="0"/>
          <w:numId w:val="1"/>
        </w:numPr>
        <w:ind w:left="284" w:hanging="295"/>
        <w:rPr>
          <w:rFonts w:hint="eastAsia"/>
          <w:color w:val="auto"/>
          <w:sz w:val="24"/>
        </w:rPr>
      </w:pPr>
      <w:r>
        <w:rPr>
          <w:color w:val="auto"/>
          <w:sz w:val="24"/>
        </w:rPr>
        <w:t>为建立和加强学术联系，扩大实验室在国内、国际的知名度，开阔专业视野，了解学科动态，实验室将定期及经常性地举办学术讲座活动，邀请国内外有影响的专家、学者来实验室做学术报告。</w:t>
      </w:r>
    </w:p>
    <w:p>
      <w:pPr>
        <w:pStyle w:val="5"/>
        <w:numPr>
          <w:ilvl w:val="0"/>
          <w:numId w:val="1"/>
        </w:numPr>
        <w:ind w:left="284" w:hanging="295"/>
        <w:rPr>
          <w:rFonts w:hint="eastAsia"/>
          <w:color w:val="auto"/>
          <w:sz w:val="24"/>
        </w:rPr>
      </w:pPr>
      <w:r>
        <w:rPr>
          <w:color w:val="auto"/>
          <w:sz w:val="24"/>
        </w:rPr>
        <w:t>实验室鼓励本室研究人员（包括教师和学生）进行学术交流，如日常学术进展报告、专题讲座及参加国内外学术会议情况介绍等。</w:t>
      </w:r>
    </w:p>
    <w:p>
      <w:pPr>
        <w:pStyle w:val="5"/>
        <w:numPr>
          <w:ilvl w:val="0"/>
          <w:numId w:val="1"/>
        </w:numPr>
        <w:ind w:left="284" w:hanging="295"/>
        <w:rPr>
          <w:rFonts w:hint="eastAsia"/>
          <w:color w:val="auto"/>
          <w:sz w:val="24"/>
        </w:rPr>
      </w:pPr>
      <w:r>
        <w:rPr>
          <w:color w:val="auto"/>
          <w:sz w:val="24"/>
        </w:rPr>
        <w:t>为保证学术讲座活动的经常性和条理性，实验室于年初制订本年度学术活动计划，由学术委员会及各课题负责人根据实验室重大的学科方向和研究动态提供学术讲座候选人，筹划可能产生重大效应的方向性报告。</w:t>
      </w:r>
    </w:p>
    <w:p>
      <w:pPr>
        <w:pStyle w:val="5"/>
        <w:numPr>
          <w:ilvl w:val="0"/>
          <w:numId w:val="1"/>
        </w:numPr>
        <w:ind w:left="284" w:hanging="295"/>
        <w:rPr>
          <w:rFonts w:hint="eastAsia"/>
          <w:color w:val="auto"/>
          <w:sz w:val="24"/>
        </w:rPr>
      </w:pPr>
      <w:r>
        <w:rPr>
          <w:color w:val="auto"/>
          <w:sz w:val="24"/>
        </w:rPr>
        <w:t>实验室主持科研项目的固定人员每年至少做学术报告一次（以正在主持进行的科研工作内容为主）。</w:t>
      </w:r>
    </w:p>
    <w:p>
      <w:pPr>
        <w:pStyle w:val="5"/>
        <w:numPr>
          <w:ilvl w:val="0"/>
          <w:numId w:val="1"/>
        </w:numPr>
        <w:ind w:left="284" w:hanging="295"/>
        <w:rPr>
          <w:rFonts w:hint="eastAsia"/>
          <w:color w:val="auto"/>
          <w:sz w:val="24"/>
        </w:rPr>
      </w:pPr>
      <w:r>
        <w:rPr>
          <w:color w:val="auto"/>
          <w:sz w:val="24"/>
        </w:rPr>
        <w:t>每个课题组每半年进行一次学术交流或报告会议。</w:t>
      </w:r>
    </w:p>
    <w:p>
      <w:pPr>
        <w:pStyle w:val="5"/>
        <w:numPr>
          <w:ilvl w:val="0"/>
          <w:numId w:val="1"/>
        </w:numPr>
        <w:ind w:left="284" w:hanging="295"/>
        <w:rPr>
          <w:rFonts w:hint="eastAsia"/>
          <w:color w:val="auto"/>
          <w:sz w:val="24"/>
        </w:rPr>
      </w:pPr>
      <w:r>
        <w:rPr>
          <w:color w:val="auto"/>
          <w:sz w:val="24"/>
        </w:rPr>
        <w:t>全体实验室人员每年举行一次全面的学术交流（2天）。</w:t>
      </w:r>
    </w:p>
    <w:p>
      <w:pPr>
        <w:pStyle w:val="5"/>
        <w:numPr>
          <w:ilvl w:val="0"/>
          <w:numId w:val="1"/>
        </w:numPr>
        <w:ind w:left="284" w:hanging="295"/>
        <w:rPr>
          <w:rFonts w:hint="eastAsia"/>
          <w:color w:val="auto"/>
          <w:sz w:val="24"/>
        </w:rPr>
      </w:pPr>
      <w:r>
        <w:rPr>
          <w:color w:val="auto"/>
          <w:sz w:val="24"/>
        </w:rPr>
        <w:t>对应邀来实验室进行学术讲座的专家、学者（已在本实验室做阶段性研究和访问者除外），由实验室支付部分费用：</w:t>
      </w:r>
    </w:p>
    <w:p>
      <w:pPr>
        <w:pStyle w:val="5"/>
        <w:numPr>
          <w:ilvl w:val="1"/>
          <w:numId w:val="2"/>
        </w:numPr>
        <w:rPr>
          <w:rFonts w:hint="eastAsia"/>
          <w:color w:val="auto"/>
          <w:sz w:val="24"/>
        </w:rPr>
      </w:pPr>
      <w:r>
        <w:rPr>
          <w:color w:val="auto"/>
          <w:sz w:val="24"/>
        </w:rPr>
        <w:t>顺访：邀请做学术报告，实验室负责在合肥2天内的食宿。</w:t>
      </w:r>
    </w:p>
    <w:p>
      <w:pPr>
        <w:pStyle w:val="5"/>
        <w:numPr>
          <w:ilvl w:val="1"/>
          <w:numId w:val="2"/>
        </w:numPr>
        <w:rPr>
          <w:rFonts w:hint="eastAsia"/>
          <w:color w:val="auto"/>
          <w:sz w:val="24"/>
        </w:rPr>
      </w:pPr>
      <w:r>
        <w:rPr>
          <w:color w:val="auto"/>
          <w:sz w:val="24"/>
        </w:rPr>
        <w:t>专门邀请：实验室负责3天内国内旅费和食宿，4~7天内国内旅费和食宿由实验室与负责邀请人分担。</w:t>
      </w:r>
    </w:p>
    <w:p>
      <w:pPr>
        <w:pStyle w:val="5"/>
        <w:numPr>
          <w:ilvl w:val="1"/>
          <w:numId w:val="2"/>
        </w:numPr>
        <w:rPr>
          <w:rFonts w:hint="eastAsia"/>
          <w:color w:val="auto"/>
          <w:sz w:val="24"/>
        </w:rPr>
      </w:pPr>
      <w:r>
        <w:rPr>
          <w:color w:val="auto"/>
          <w:sz w:val="24"/>
        </w:rPr>
        <w:t>实验室不负责国际旅费部分。其他情况由学术委员会根据具体情况另行商定。</w:t>
      </w:r>
    </w:p>
    <w:p>
      <w:pPr>
        <w:pStyle w:val="5"/>
        <w:numPr>
          <w:ilvl w:val="0"/>
          <w:numId w:val="1"/>
        </w:numPr>
        <w:ind w:left="284" w:hanging="295"/>
        <w:rPr>
          <w:rFonts w:hint="eastAsia"/>
          <w:color w:val="auto"/>
          <w:sz w:val="24"/>
        </w:rPr>
      </w:pPr>
      <w:r>
        <w:rPr>
          <w:color w:val="auto"/>
          <w:sz w:val="24"/>
        </w:rPr>
        <w:t>每次学术活动应保留相关照片、资料等，由本次报告的直接联系人配合办公室整理，由办公室统一存档保管，以便用于宣传、上报材料、参考借阅等。</w:t>
      </w:r>
    </w:p>
    <w:p>
      <w:pPr>
        <w:pStyle w:val="5"/>
        <w:rPr>
          <w:rFonts w:hint="eastAsia"/>
          <w:color w:val="auto"/>
          <w:sz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FreeSans">
    <w:altName w:val="Times New Roman"/>
    <w:panose1 w:val="00000000000000000000"/>
    <w:charset w:val="00"/>
    <w:family w:val="roman"/>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roman"/>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1FB6"/>
    <w:multiLevelType w:val="multilevel"/>
    <w:tmpl w:val="112D1FB6"/>
    <w:lvl w:ilvl="0" w:tentative="0">
      <w:start w:val="1"/>
      <w:numFmt w:val="decimal"/>
      <w:suff w:val="space"/>
      <w:lvlText w:val="%1."/>
      <w:lvlJc w:val="left"/>
      <w:pPr>
        <w:ind w:left="720" w:hanging="720"/>
      </w:pPr>
    </w:lvl>
    <w:lvl w:ilvl="1" w:tentative="0">
      <w:start w:val="1"/>
      <w:numFmt w:val="decimal"/>
      <w:suff w:val="space"/>
      <w:lvlText w:val="(%2)"/>
      <w:lvlJc w:val="left"/>
      <w:pPr>
        <w:ind w:left="720" w:hanging="360"/>
      </w:pPr>
    </w:lvl>
    <w:lvl w:ilvl="2" w:tentative="0">
      <w:start w:val="1"/>
      <w:numFmt w:val="decimal"/>
      <w:suff w:val="space"/>
      <w:lvlText w:val="%3."/>
      <w:lvlJc w:val="left"/>
      <w:pPr>
        <w:ind w:left="720" w:hanging="720"/>
      </w:pPr>
    </w:lvl>
    <w:lvl w:ilvl="3" w:tentative="0">
      <w:start w:val="1"/>
      <w:numFmt w:val="decimal"/>
      <w:suff w:val="space"/>
      <w:lvlText w:val="%4."/>
      <w:lvlJc w:val="left"/>
      <w:pPr>
        <w:ind w:left="720" w:hanging="720"/>
      </w:pPr>
    </w:lvl>
    <w:lvl w:ilvl="4" w:tentative="0">
      <w:start w:val="1"/>
      <w:numFmt w:val="decimal"/>
      <w:suff w:val="space"/>
      <w:lvlText w:val="%5."/>
      <w:lvlJc w:val="left"/>
      <w:pPr>
        <w:ind w:left="720" w:hanging="720"/>
      </w:pPr>
    </w:lvl>
    <w:lvl w:ilvl="5" w:tentative="0">
      <w:start w:val="1"/>
      <w:numFmt w:val="decimal"/>
      <w:suff w:val="space"/>
      <w:lvlText w:val="%6."/>
      <w:lvlJc w:val="left"/>
      <w:pPr>
        <w:ind w:left="720" w:hanging="720"/>
      </w:pPr>
    </w:lvl>
    <w:lvl w:ilvl="6" w:tentative="0">
      <w:start w:val="1"/>
      <w:numFmt w:val="decimal"/>
      <w:suff w:val="space"/>
      <w:lvlText w:val="%7."/>
      <w:lvlJc w:val="left"/>
      <w:pPr>
        <w:ind w:left="720" w:hanging="720"/>
      </w:pPr>
    </w:lvl>
    <w:lvl w:ilvl="7" w:tentative="0">
      <w:start w:val="1"/>
      <w:numFmt w:val="decimal"/>
      <w:suff w:val="space"/>
      <w:lvlText w:val="%8."/>
      <w:lvlJc w:val="left"/>
      <w:pPr>
        <w:ind w:left="720" w:hanging="720"/>
      </w:pPr>
    </w:lvl>
    <w:lvl w:ilvl="8" w:tentative="0">
      <w:start w:val="1"/>
      <w:numFmt w:val="decimal"/>
      <w:suff w:val="space"/>
      <w:lvlText w:val="%9."/>
      <w:lvlJc w:val="left"/>
      <w:pPr>
        <w:ind w:left="720" w:hanging="720"/>
      </w:pPr>
    </w:lvl>
  </w:abstractNum>
  <w:abstractNum w:abstractNumId="1">
    <w:nsid w:val="7FCE6632"/>
    <w:multiLevelType w:val="multilevel"/>
    <w:tmpl w:val="7FCE6632"/>
    <w:lvl w:ilvl="0" w:tentative="0">
      <w:start w:val="1"/>
      <w:numFmt w:val="decimal"/>
      <w:suff w:val="space"/>
      <w:lvlText w:val="%1."/>
      <w:lvlJc w:val="left"/>
      <w:pPr>
        <w:ind w:left="720" w:hanging="720"/>
      </w:pPr>
    </w:lvl>
    <w:lvl w:ilvl="1" w:tentative="0">
      <w:start w:val="1"/>
      <w:numFmt w:val="decimal"/>
      <w:suff w:val="space"/>
      <w:lvlText w:val="(%2)"/>
      <w:lvlJc w:val="left"/>
      <w:pPr>
        <w:ind w:left="720" w:hanging="360"/>
      </w:pPr>
    </w:lvl>
    <w:lvl w:ilvl="2" w:tentative="0">
      <w:start w:val="1"/>
      <w:numFmt w:val="decimal"/>
      <w:suff w:val="space"/>
      <w:lvlText w:val="%3."/>
      <w:lvlJc w:val="left"/>
      <w:pPr>
        <w:ind w:left="720" w:hanging="720"/>
      </w:pPr>
    </w:lvl>
    <w:lvl w:ilvl="3" w:tentative="0">
      <w:start w:val="1"/>
      <w:numFmt w:val="decimal"/>
      <w:suff w:val="space"/>
      <w:lvlText w:val="%4."/>
      <w:lvlJc w:val="left"/>
      <w:pPr>
        <w:ind w:left="720" w:hanging="720"/>
      </w:pPr>
    </w:lvl>
    <w:lvl w:ilvl="4" w:tentative="0">
      <w:start w:val="1"/>
      <w:numFmt w:val="decimal"/>
      <w:suff w:val="space"/>
      <w:lvlText w:val="%5."/>
      <w:lvlJc w:val="left"/>
      <w:pPr>
        <w:ind w:left="720" w:hanging="720"/>
      </w:pPr>
    </w:lvl>
    <w:lvl w:ilvl="5" w:tentative="0">
      <w:start w:val="1"/>
      <w:numFmt w:val="decimal"/>
      <w:suff w:val="space"/>
      <w:lvlText w:val="%6."/>
      <w:lvlJc w:val="left"/>
      <w:pPr>
        <w:ind w:left="720" w:hanging="720"/>
      </w:pPr>
    </w:lvl>
    <w:lvl w:ilvl="6" w:tentative="0">
      <w:start w:val="1"/>
      <w:numFmt w:val="decimal"/>
      <w:suff w:val="space"/>
      <w:lvlText w:val="%7."/>
      <w:lvlJc w:val="left"/>
      <w:pPr>
        <w:ind w:left="720" w:hanging="720"/>
      </w:pPr>
    </w:lvl>
    <w:lvl w:ilvl="7" w:tentative="0">
      <w:start w:val="1"/>
      <w:numFmt w:val="decimal"/>
      <w:suff w:val="space"/>
      <w:lvlText w:val="%8."/>
      <w:lvlJc w:val="left"/>
      <w:pPr>
        <w:ind w:left="720" w:hanging="720"/>
      </w:pPr>
    </w:lvl>
    <w:lvl w:ilvl="8" w:tentative="0">
      <w:start w:val="1"/>
      <w:numFmt w:val="decimal"/>
      <w:suff w:val="space"/>
      <w:lvlText w:val="%9."/>
      <w:lvlJc w:val="left"/>
      <w:pPr>
        <w:ind w:left="72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65E60"/>
    <w:rsid w:val="35465E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qFormat/>
    <w:uiPriority w:val="0"/>
    <w:pPr>
      <w:keepNext/>
      <w:suppressAutoHyphens/>
      <w:overflowPunct w:val="0"/>
      <w:spacing w:before="60" w:after="120"/>
      <w:jc w:val="center"/>
    </w:pPr>
    <w:rPr>
      <w:rFonts w:ascii="Liberation Sans" w:hAnsi="Liberation Sans" w:eastAsia="微软雅黑" w:cs="FreeSans"/>
      <w:color w:val="00000A"/>
      <w:kern w:val="0"/>
      <w:sz w:val="36"/>
      <w:szCs w:val="36"/>
      <w:lang w:bidi="hi-IN"/>
    </w:rPr>
  </w:style>
  <w:style w:type="paragraph" w:customStyle="1" w:styleId="5">
    <w:name w:val="Text Body"/>
    <w:basedOn w:val="1"/>
    <w:qFormat/>
    <w:uiPriority w:val="0"/>
    <w:pPr>
      <w:suppressAutoHyphens/>
      <w:overflowPunct w:val="0"/>
      <w:spacing w:after="140" w:line="288" w:lineRule="auto"/>
      <w:jc w:val="left"/>
    </w:pPr>
    <w:rPr>
      <w:rFonts w:ascii="Liberation Serif" w:hAnsi="Liberation Serif" w:cs="FreeSans"/>
      <w:color w:val="00000A"/>
      <w:kern w:val="0"/>
      <w:sz w:val="28"/>
      <w:szCs w:val="24"/>
      <w:lang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2017-06-22T13:46:00Z</dcterms:created>
  <dc:creator>sola_sin</dc:creator>
  <cp:lastModifiedBy>sola_sin</cp:lastModifiedBy>
  <dcterms:modified xsi:type="dcterms:W3CDTF">2017-06-22T13:47:21Z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