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/>
          <w:color w:val="auto"/>
          <w:sz w:val="28"/>
          <w:szCs w:val="24"/>
        </w:rPr>
      </w:pPr>
      <w:r>
        <w:rPr>
          <w:b/>
          <w:color w:val="auto"/>
          <w:sz w:val="28"/>
          <w:szCs w:val="24"/>
        </w:rPr>
        <w:t>大数据分析与应用实验室工作制度</w:t>
      </w:r>
    </w:p>
    <w:p>
      <w:pPr>
        <w:pStyle w:val="5"/>
        <w:ind w:firstLine="449"/>
        <w:rPr>
          <w:rFonts w:hint="eastAsia"/>
          <w:color w:val="auto"/>
          <w:sz w:val="24"/>
        </w:rPr>
      </w:pPr>
      <w:r>
        <w:rPr>
          <w:color w:val="auto"/>
          <w:sz w:val="24"/>
        </w:rPr>
        <w:t>为了保障实验室的正常建设和运行，特制订本制度。</w:t>
      </w:r>
    </w:p>
    <w:p>
      <w:pPr>
        <w:pStyle w:val="5"/>
        <w:numPr>
          <w:ilvl w:val="0"/>
          <w:numId w:val="1"/>
        </w:numPr>
        <w:ind w:left="709"/>
        <w:rPr>
          <w:rFonts w:hint="eastAsia"/>
          <w:color w:val="auto"/>
          <w:sz w:val="24"/>
        </w:rPr>
      </w:pPr>
      <w:r>
        <w:rPr>
          <w:color w:val="auto"/>
          <w:sz w:val="24"/>
        </w:rPr>
        <w:t>实验室人员必须遵守实验室的各项规章制度。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实验室人员应服从上级领导安排，认真完成所承担的各项研究任务和工作任务。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实验室人员要爱护仪器设备和公共设施，不得私自占用和转让实验室的各种仪器设备和材料用品。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实验室人员在工作时应保持良好的工作秩序和学习环境，注意个人卫生和环境卫生、衣着整洁。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实验室人员上班时间不得在实验室聊天及大声喧哗。私人待客均须在会客室内进行。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实验室的钥匙除各人分管之外，实行统一管理，由办公室负责。未经办公室批准任何人不得另配钥匙，流动工作人员不得配备本实验室钥匙。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实验室所有资料、文件均需存档保管、专人负责。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实验室所有设备必须建立设备档案，每台设备指定专人管理、维护，要经常保持清洁和维持正常运转，并定期进行软件更新以及各项技术指标测试。</w:t>
      </w:r>
    </w:p>
    <w:p>
      <w:pPr>
        <w:pStyle w:val="5"/>
        <w:numPr>
          <w:ilvl w:val="0"/>
          <w:numId w:val="1"/>
        </w:numPr>
        <w:ind w:left="284" w:hanging="284"/>
        <w:rPr>
          <w:rFonts w:hint="eastAsia"/>
          <w:color w:val="auto"/>
          <w:sz w:val="24"/>
        </w:rPr>
      </w:pPr>
      <w:r>
        <w:rPr>
          <w:color w:val="auto"/>
          <w:sz w:val="24"/>
        </w:rPr>
        <w:t>实验室人员接待外来人员时，应严格执行《实验室安全保卫制度》。</w:t>
      </w:r>
    </w:p>
    <w:p>
      <w:pPr>
        <w:pStyle w:val="5"/>
        <w:rPr>
          <w:rFonts w:hint="eastAsia"/>
          <w:color w:val="auto"/>
          <w:sz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B7034"/>
    <w:multiLevelType w:val="multilevel"/>
    <w:tmpl w:val="309B7034"/>
    <w:lvl w:ilvl="0" w:tentative="0">
      <w:start w:val="1"/>
      <w:numFmt w:val="decimal"/>
      <w:suff w:val="space"/>
      <w:lvlText w:val="%1."/>
      <w:lvlJc w:val="left"/>
      <w:pPr>
        <w:ind w:left="720" w:hanging="720"/>
      </w:pPr>
    </w:lvl>
    <w:lvl w:ilvl="1" w:tentative="0">
      <w:start w:val="1"/>
      <w:numFmt w:val="decimal"/>
      <w:suff w:val="space"/>
      <w:lvlText w:val="%2."/>
      <w:lvlJc w:val="left"/>
      <w:pPr>
        <w:ind w:left="720" w:hanging="720"/>
      </w:pPr>
    </w:lvl>
    <w:lvl w:ilvl="2" w:tentative="0">
      <w:start w:val="1"/>
      <w:numFmt w:val="decimal"/>
      <w:suff w:val="space"/>
      <w:lvlText w:val="%3."/>
      <w:lvlJc w:val="left"/>
      <w:pPr>
        <w:ind w:left="720" w:hanging="720"/>
      </w:pPr>
    </w:lvl>
    <w:lvl w:ilvl="3" w:tentative="0">
      <w:start w:val="1"/>
      <w:numFmt w:val="decimal"/>
      <w:suff w:val="space"/>
      <w:lvlText w:val="%4."/>
      <w:lvlJc w:val="left"/>
      <w:pPr>
        <w:ind w:left="720" w:hanging="720"/>
      </w:pPr>
    </w:lvl>
    <w:lvl w:ilvl="4" w:tentative="0">
      <w:start w:val="1"/>
      <w:numFmt w:val="decimal"/>
      <w:suff w:val="space"/>
      <w:lvlText w:val="%5."/>
      <w:lvlJc w:val="left"/>
      <w:pPr>
        <w:ind w:left="720" w:hanging="720"/>
      </w:pPr>
    </w:lvl>
    <w:lvl w:ilvl="5" w:tentative="0">
      <w:start w:val="1"/>
      <w:numFmt w:val="decimal"/>
      <w:suff w:val="space"/>
      <w:lvlText w:val="%6."/>
      <w:lvlJc w:val="left"/>
      <w:pPr>
        <w:ind w:left="720" w:hanging="720"/>
      </w:pPr>
    </w:lvl>
    <w:lvl w:ilvl="6" w:tentative="0">
      <w:start w:val="1"/>
      <w:numFmt w:val="decimal"/>
      <w:suff w:val="space"/>
      <w:lvlText w:val="%7."/>
      <w:lvlJc w:val="left"/>
      <w:pPr>
        <w:ind w:left="720" w:hanging="720"/>
      </w:pPr>
    </w:lvl>
    <w:lvl w:ilvl="7" w:tentative="0">
      <w:start w:val="1"/>
      <w:numFmt w:val="decimal"/>
      <w:suff w:val="space"/>
      <w:lvlText w:val="%8."/>
      <w:lvlJc w:val="left"/>
      <w:pPr>
        <w:ind w:left="720" w:hanging="720"/>
      </w:pPr>
    </w:lvl>
    <w:lvl w:ilvl="8" w:tentative="0">
      <w:start w:val="1"/>
      <w:numFmt w:val="decimal"/>
      <w:suff w:val="space"/>
      <w:lvlText w:val="%9."/>
      <w:lvlJc w:val="left"/>
      <w:pPr>
        <w:ind w:left="72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94D17"/>
    <w:rsid w:val="6A594D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qFormat/>
    <w:uiPriority w:val="0"/>
    <w:pPr>
      <w:keepNext/>
      <w:suppressAutoHyphens/>
      <w:overflowPunct w:val="0"/>
      <w:spacing w:before="60" w:after="120"/>
      <w:jc w:val="center"/>
    </w:pPr>
    <w:rPr>
      <w:rFonts w:ascii="Liberation Sans" w:hAnsi="Liberation Sans" w:eastAsia="微软雅黑" w:cs="FreeSans"/>
      <w:color w:val="00000A"/>
      <w:kern w:val="0"/>
      <w:sz w:val="36"/>
      <w:szCs w:val="36"/>
      <w:lang w:bidi="hi-IN"/>
    </w:rPr>
  </w:style>
  <w:style w:type="paragraph" w:customStyle="1" w:styleId="5">
    <w:name w:val="Text Body"/>
    <w:basedOn w:val="1"/>
    <w:qFormat/>
    <w:uiPriority w:val="0"/>
    <w:pPr>
      <w:suppressAutoHyphens/>
      <w:overflowPunct w:val="0"/>
      <w:spacing w:after="140" w:line="288" w:lineRule="auto"/>
      <w:jc w:val="left"/>
    </w:pPr>
    <w:rPr>
      <w:rFonts w:ascii="Liberation Serif" w:hAnsi="Liberation Serif" w:cs="FreeSans"/>
      <w:color w:val="00000A"/>
      <w:kern w:val="0"/>
      <w:sz w:val="28"/>
      <w:szCs w:val="24"/>
      <w:lang w:bidi="hi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2017-06-22T13:45:00Z</dcterms:created>
  <dc:creator>sola_sin</dc:creator>
  <cp:lastModifiedBy>sola_sin</cp:lastModifiedBy>
  <dcterms:modified xsi:type="dcterms:W3CDTF">2017-06-22T13:45:47Z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