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88" w:lineRule="auto"/>
        <w:rPr>
          <w:rFonts w:hint="eastAsia"/>
          <w:b/>
          <w:color w:val="auto"/>
          <w:sz w:val="28"/>
          <w:szCs w:val="24"/>
        </w:rPr>
      </w:pPr>
      <w:r>
        <w:rPr>
          <w:b/>
          <w:color w:val="auto"/>
          <w:sz w:val="28"/>
          <w:szCs w:val="24"/>
        </w:rPr>
        <w:t>大数据分析与应用实验室</w:t>
      </w:r>
      <w:r>
        <w:rPr>
          <w:rFonts w:hint="eastAsia"/>
          <w:b/>
          <w:color w:val="auto"/>
          <w:sz w:val="28"/>
          <w:szCs w:val="24"/>
        </w:rPr>
        <w:t>开放课题管理</w:t>
      </w:r>
      <w:r>
        <w:rPr>
          <w:b/>
          <w:color w:val="auto"/>
          <w:sz w:val="28"/>
          <w:szCs w:val="24"/>
        </w:rPr>
        <w:t>办法</w:t>
      </w:r>
    </w:p>
    <w:p>
      <w:pPr>
        <w:widowControl/>
        <w:spacing w:before="156" w:beforeLines="50" w:after="156" w:afterLines="50" w:line="288" w:lineRule="auto"/>
        <w:ind w:firstLine="424" w:firstLineChars="177"/>
        <w:rPr>
          <w:rFonts w:ascii="宋体" w:hAnsi="宋体"/>
          <w:sz w:val="24"/>
          <w:szCs w:val="24"/>
        </w:rPr>
      </w:pPr>
      <w:r>
        <w:rPr>
          <w:rFonts w:hint="eastAsia" w:ascii="宋体" w:hAnsi="宋体"/>
          <w:sz w:val="24"/>
          <w:szCs w:val="24"/>
        </w:rPr>
        <w:t>实验室开放基金主要用以支持与本实验室研究方向有关的课题研究，鼓励国内外的科学与教育工作者、工程技术工作者向本实验室申请开放基金。</w:t>
      </w:r>
    </w:p>
    <w:p>
      <w:pPr>
        <w:pStyle w:val="5"/>
        <w:widowControl/>
        <w:numPr>
          <w:ilvl w:val="0"/>
          <w:numId w:val="1"/>
        </w:numPr>
        <w:spacing w:before="156" w:beforeLines="50" w:after="156" w:afterLines="50" w:line="288" w:lineRule="auto"/>
        <w:ind w:left="284" w:firstLineChars="0"/>
        <w:jc w:val="left"/>
        <w:rPr>
          <w:rFonts w:ascii="宋体" w:hAnsi="宋体"/>
          <w:sz w:val="24"/>
          <w:szCs w:val="24"/>
        </w:rPr>
      </w:pPr>
      <w:r>
        <w:rPr>
          <w:rFonts w:hint="eastAsia" w:ascii="宋体" w:hAnsi="宋体"/>
          <w:sz w:val="24"/>
          <w:szCs w:val="24"/>
        </w:rPr>
        <w:t>开放对象</w:t>
      </w:r>
    </w:p>
    <w:p>
      <w:pPr>
        <w:pStyle w:val="5"/>
        <w:widowControl/>
        <w:numPr>
          <w:ilvl w:val="0"/>
          <w:numId w:val="2"/>
        </w:numPr>
        <w:spacing w:before="156" w:beforeLines="50" w:after="156" w:afterLines="50" w:line="288" w:lineRule="auto"/>
        <w:ind w:left="426" w:hanging="284" w:firstLineChars="0"/>
        <w:jc w:val="left"/>
        <w:rPr>
          <w:rFonts w:ascii="宋体" w:hAnsi="宋体"/>
          <w:sz w:val="24"/>
          <w:szCs w:val="24"/>
        </w:rPr>
      </w:pPr>
      <w:r>
        <w:rPr>
          <w:rFonts w:hint="eastAsia" w:ascii="宋体" w:hAnsi="宋体"/>
          <w:sz w:val="24"/>
          <w:szCs w:val="24"/>
        </w:rPr>
        <w:t>凡研究方向符合开放课题指南的研究人员，均可根据课题指南提出申请，经本实验室学术委员会择优批准，获得课题基金资助者。</w:t>
      </w:r>
    </w:p>
    <w:p>
      <w:pPr>
        <w:pStyle w:val="5"/>
        <w:widowControl/>
        <w:numPr>
          <w:ilvl w:val="0"/>
          <w:numId w:val="2"/>
        </w:numPr>
        <w:spacing w:before="156" w:beforeLines="50" w:after="156" w:afterLines="50" w:line="288" w:lineRule="auto"/>
        <w:ind w:left="284" w:hanging="142" w:firstLineChars="0"/>
        <w:jc w:val="left"/>
        <w:rPr>
          <w:rFonts w:ascii="宋体" w:hAnsi="宋体"/>
          <w:sz w:val="24"/>
          <w:szCs w:val="24"/>
        </w:rPr>
      </w:pPr>
      <w:r>
        <w:rPr>
          <w:rFonts w:hint="eastAsia" w:ascii="宋体" w:hAnsi="宋体"/>
          <w:sz w:val="24"/>
          <w:szCs w:val="24"/>
        </w:rPr>
        <w:t>根据工作需要，应课题负责人或实验室主任邀请，参加已有开放课题研究的科技人员，以及博士、硕士研究生。</w:t>
      </w:r>
    </w:p>
    <w:p>
      <w:pPr>
        <w:pStyle w:val="5"/>
        <w:widowControl/>
        <w:numPr>
          <w:ilvl w:val="0"/>
          <w:numId w:val="2"/>
        </w:numPr>
        <w:spacing w:before="156" w:beforeLines="50" w:after="156" w:afterLines="50" w:line="288" w:lineRule="auto"/>
        <w:ind w:left="426" w:hanging="284" w:firstLineChars="0"/>
        <w:jc w:val="left"/>
        <w:rPr>
          <w:rFonts w:ascii="宋体" w:hAnsi="宋体"/>
          <w:sz w:val="24"/>
          <w:szCs w:val="24"/>
        </w:rPr>
      </w:pPr>
      <w:r>
        <w:rPr>
          <w:rFonts w:hint="eastAsia" w:ascii="宋体" w:hAnsi="宋体"/>
          <w:sz w:val="24"/>
          <w:szCs w:val="24"/>
        </w:rPr>
        <w:t>申请者可选择部分经费自带的方式申请基金资助课题，审批评审时将酌情考虑。申请人申请时须提供有关经费使用许可证明。</w:t>
      </w:r>
    </w:p>
    <w:p>
      <w:pPr>
        <w:pStyle w:val="5"/>
        <w:widowControl/>
        <w:numPr>
          <w:ilvl w:val="0"/>
          <w:numId w:val="2"/>
        </w:numPr>
        <w:spacing w:before="156" w:beforeLines="50" w:after="156" w:afterLines="50" w:line="288" w:lineRule="auto"/>
        <w:ind w:left="426" w:hanging="284" w:firstLineChars="0"/>
        <w:jc w:val="left"/>
        <w:rPr>
          <w:rFonts w:ascii="宋体" w:hAnsi="宋体"/>
          <w:sz w:val="24"/>
          <w:szCs w:val="24"/>
        </w:rPr>
      </w:pPr>
      <w:r>
        <w:rPr>
          <w:rFonts w:hint="eastAsia" w:ascii="宋体" w:hAnsi="宋体"/>
          <w:sz w:val="24"/>
          <w:szCs w:val="24"/>
        </w:rPr>
        <w:t>经实验室主任特邀的客座研究人员。</w:t>
      </w:r>
    </w:p>
    <w:p>
      <w:pPr>
        <w:pStyle w:val="5"/>
        <w:widowControl/>
        <w:numPr>
          <w:ilvl w:val="0"/>
          <w:numId w:val="2"/>
        </w:numPr>
        <w:spacing w:before="156" w:beforeLines="50" w:after="156" w:afterLines="50" w:line="288" w:lineRule="auto"/>
        <w:ind w:left="-142" w:firstLine="284" w:firstLineChars="0"/>
        <w:jc w:val="left"/>
        <w:rPr>
          <w:rFonts w:ascii="宋体" w:hAnsi="宋体"/>
          <w:sz w:val="24"/>
          <w:szCs w:val="24"/>
        </w:rPr>
      </w:pPr>
      <w:r>
        <w:rPr>
          <w:rFonts w:hint="eastAsia" w:ascii="宋体" w:hAnsi="宋体"/>
          <w:sz w:val="24"/>
          <w:szCs w:val="24"/>
        </w:rPr>
        <w:t>鼓励各单位与本室研究人员联合申请基金课题。</w:t>
      </w:r>
    </w:p>
    <w:p>
      <w:pPr>
        <w:widowControl/>
        <w:spacing w:before="156" w:beforeLines="50" w:after="156" w:afterLines="50" w:line="288" w:lineRule="auto"/>
        <w:rPr>
          <w:rFonts w:ascii="宋体" w:hAnsi="宋体"/>
          <w:sz w:val="24"/>
          <w:szCs w:val="24"/>
        </w:rPr>
      </w:pPr>
    </w:p>
    <w:p>
      <w:pPr>
        <w:pStyle w:val="5"/>
        <w:widowControl/>
        <w:numPr>
          <w:ilvl w:val="0"/>
          <w:numId w:val="1"/>
        </w:numPr>
        <w:spacing w:before="156" w:beforeLines="50" w:after="156" w:afterLines="50" w:line="288" w:lineRule="auto"/>
        <w:ind w:left="284" w:firstLineChars="0"/>
        <w:jc w:val="left"/>
        <w:rPr>
          <w:rFonts w:ascii="宋体" w:hAnsi="宋体"/>
          <w:sz w:val="24"/>
          <w:szCs w:val="24"/>
        </w:rPr>
      </w:pPr>
      <w:r>
        <w:rPr>
          <w:rFonts w:hint="eastAsia" w:ascii="宋体" w:hAnsi="宋体"/>
          <w:sz w:val="24"/>
          <w:szCs w:val="24"/>
        </w:rPr>
        <w:t>开放基金使用范围</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与获资助课题直接有关的研究费用。如大型仪器设备机时费, 科研业务费, 材料费，数据标注、加工费等。</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与获资助课题直接有关的学术活动费（控制在基金总额的10%以内）。如论文出版费、参加学术会议费用等。</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客座人员往来的旅差费、住宿费及科研津贴、生活补助费等。</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管理费（为基金总额的5%），用于实验室公共性开支。</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工作人员津贴（控制在基金总额的5%以内）。</w:t>
      </w:r>
    </w:p>
    <w:p>
      <w:pPr>
        <w:pStyle w:val="5"/>
        <w:widowControl/>
        <w:numPr>
          <w:ilvl w:val="0"/>
          <w:numId w:val="3"/>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其它开支（控制在基金总额的10%以内）。</w:t>
      </w:r>
    </w:p>
    <w:p>
      <w:pPr>
        <w:widowControl/>
        <w:spacing w:before="156" w:beforeLines="50" w:after="156" w:afterLines="50" w:line="288" w:lineRule="auto"/>
        <w:rPr>
          <w:rFonts w:ascii="宋体" w:hAnsi="宋体"/>
          <w:sz w:val="24"/>
          <w:szCs w:val="24"/>
        </w:rPr>
      </w:pPr>
    </w:p>
    <w:p>
      <w:pPr>
        <w:pStyle w:val="5"/>
        <w:widowControl/>
        <w:numPr>
          <w:ilvl w:val="0"/>
          <w:numId w:val="1"/>
        </w:numPr>
        <w:spacing w:before="156" w:beforeLines="50" w:after="156" w:afterLines="50" w:line="288" w:lineRule="auto"/>
        <w:ind w:left="142" w:hanging="278" w:firstLineChars="0"/>
        <w:jc w:val="left"/>
        <w:rPr>
          <w:rFonts w:ascii="宋体" w:hAnsi="宋体"/>
          <w:sz w:val="24"/>
          <w:szCs w:val="24"/>
        </w:rPr>
      </w:pPr>
      <w:r>
        <w:rPr>
          <w:rFonts w:hint="eastAsia" w:ascii="宋体" w:hAnsi="宋体"/>
          <w:sz w:val="24"/>
          <w:szCs w:val="24"/>
        </w:rPr>
        <w:t>课题管理</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实验室学术委员会每年根据本实验室的研究领域，提出开放课题指南。</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基金课题执行期限一般为两年左右。自带课题和经费的人员不受此限制，其工作期限由相应的课题决定。</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基金开支按课题核算，年终节余经费可结转下年度。</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申请课题者，每年在本实验室的工作时间不得少于2个月。</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课题必须按申请内容及“年度进度报告”进度完成，对于基金使用不合理或没有足够理由未能按进度完成计划的课题，实验室主任有权暂时中止或取消资助。</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批准的研究课题经费一般情况下仅供在本实验室进行指定课题的研究工作使用,特殊情况需事先经实验室批准。经费具体使用范围参考“开放基金使用范围”。</w:t>
      </w:r>
    </w:p>
    <w:p>
      <w:pPr>
        <w:pStyle w:val="5"/>
        <w:widowControl/>
        <w:numPr>
          <w:ilvl w:val="0"/>
          <w:numId w:val="4"/>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课题负责人掌握经费的使用权,并按中国科学技术大学财务处的有关规定报销。</w:t>
      </w:r>
      <w:r>
        <w:rPr>
          <w:rFonts w:hint="eastAsia" w:ascii="宋体" w:hAnsi="宋体"/>
          <w:sz w:val="24"/>
          <w:szCs w:val="24"/>
        </w:rPr>
        <w:cr/>
      </w:r>
      <w:r>
        <w:rPr>
          <w:rFonts w:hint="eastAsia" w:ascii="宋体" w:hAnsi="宋体"/>
          <w:sz w:val="24"/>
          <w:szCs w:val="24"/>
        </w:rPr>
        <w:t>资助的课题应尽可能使用本实验室对外开放的设备及数据,因工作需要必须使用本室以外的设备及数据，需事先经办公室批准。测试资料归本室存档,所购设备或</w:t>
      </w:r>
      <w:r>
        <w:rPr>
          <w:rFonts w:ascii="宋体" w:hAnsi="宋体"/>
          <w:sz w:val="24"/>
          <w:szCs w:val="24"/>
        </w:rPr>
        <w:t>第三方数据</w:t>
      </w:r>
      <w:r>
        <w:rPr>
          <w:rFonts w:hint="eastAsia" w:ascii="宋体" w:hAnsi="宋体"/>
          <w:sz w:val="24"/>
          <w:szCs w:val="24"/>
        </w:rPr>
        <w:t>归本室所有。</w:t>
      </w:r>
    </w:p>
    <w:p>
      <w:pPr>
        <w:widowControl/>
        <w:spacing w:before="156" w:beforeLines="50" w:after="156" w:afterLines="50" w:line="288" w:lineRule="auto"/>
        <w:rPr>
          <w:rFonts w:ascii="宋体" w:hAnsi="宋体"/>
          <w:sz w:val="24"/>
          <w:szCs w:val="24"/>
        </w:rPr>
      </w:pPr>
    </w:p>
    <w:p>
      <w:pPr>
        <w:pStyle w:val="5"/>
        <w:widowControl/>
        <w:numPr>
          <w:ilvl w:val="0"/>
          <w:numId w:val="1"/>
        </w:numPr>
        <w:spacing w:before="156" w:beforeLines="50" w:after="156" w:afterLines="50" w:line="288" w:lineRule="auto"/>
        <w:ind w:left="142" w:hanging="278" w:firstLineChars="0"/>
        <w:jc w:val="left"/>
        <w:rPr>
          <w:rFonts w:ascii="宋体" w:hAnsi="宋体"/>
          <w:sz w:val="24"/>
          <w:szCs w:val="24"/>
        </w:rPr>
      </w:pPr>
      <w:r>
        <w:rPr>
          <w:rFonts w:hint="eastAsia" w:ascii="宋体" w:hAnsi="宋体"/>
          <w:sz w:val="24"/>
          <w:szCs w:val="24"/>
        </w:rPr>
        <w:t>成果管理及结题</w:t>
      </w:r>
    </w:p>
    <w:p>
      <w:pPr>
        <w:pStyle w:val="5"/>
        <w:widowControl/>
        <w:numPr>
          <w:ilvl w:val="0"/>
          <w:numId w:val="5"/>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获基金资助的课题，每年度须提交执行情况报告，同时提交相关的学术论文、研究报告或实验工作阶段小结。</w:t>
      </w:r>
    </w:p>
    <w:p>
      <w:pPr>
        <w:pStyle w:val="5"/>
        <w:widowControl/>
        <w:numPr>
          <w:ilvl w:val="0"/>
          <w:numId w:val="5"/>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课题结束时, 课题负责人要按实验室的要求提交结题报告及学术论文等, 并按规定做好基金结算,器材清理与科技资料归档工作。论文发表后应送抽印本二份给本室存档。</w:t>
      </w:r>
    </w:p>
    <w:p>
      <w:pPr>
        <w:pStyle w:val="5"/>
        <w:widowControl/>
        <w:numPr>
          <w:ilvl w:val="0"/>
          <w:numId w:val="5"/>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实验室每年对所资助的课题进行评选，优秀者可直接纳入下年度资助计划。</w:t>
      </w:r>
    </w:p>
    <w:p>
      <w:pPr>
        <w:pStyle w:val="5"/>
        <w:widowControl/>
        <w:numPr>
          <w:ilvl w:val="0"/>
          <w:numId w:val="5"/>
        </w:numPr>
        <w:spacing w:before="156" w:beforeLines="50" w:after="156" w:afterLines="50" w:line="288" w:lineRule="auto"/>
        <w:ind w:hanging="278" w:firstLineChars="0"/>
        <w:jc w:val="left"/>
        <w:rPr>
          <w:rFonts w:ascii="宋体" w:hAnsi="宋体"/>
          <w:sz w:val="24"/>
          <w:szCs w:val="24"/>
        </w:rPr>
      </w:pPr>
      <w:r>
        <w:rPr>
          <w:rFonts w:hint="eastAsia" w:ascii="宋体" w:hAnsi="宋体"/>
          <w:sz w:val="24"/>
          <w:szCs w:val="24"/>
        </w:rPr>
        <w:t>课题组应配合实验室对课题执行情况进行检查。课题研究若偏离原计划方向，应立即纠正，对不服从者，实验室主任有权中止基金的支出，并将情况报告学术委员会，作相应处理。</w:t>
      </w:r>
    </w:p>
    <w:p>
      <w:r>
        <w:rPr>
          <w:rFonts w:hint="eastAsia" w:ascii="宋体" w:hAnsi="宋体"/>
          <w:sz w:val="24"/>
          <w:szCs w:val="24"/>
        </w:rPr>
        <w:t>研究成果为本实验室及研究者所在单位共享, 发表论文、鉴定成果和申请专利, 应在作者单位处署名“大数据分析与应用安徽省重点实验室，Anhui Province Key Laboratory of Big Data Analysis and Application”及研究者所在单位名称, 并须提交成果证书复印件一式二份。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FreeSans">
    <w:altName w:val="Times New Roman"/>
    <w:panose1 w:val="00000000000000000000"/>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roman"/>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CD5"/>
    <w:multiLevelType w:val="multilevel"/>
    <w:tmpl w:val="01FD6C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46308F"/>
    <w:multiLevelType w:val="multilevel"/>
    <w:tmpl w:val="2C4630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9C020DE"/>
    <w:multiLevelType w:val="multilevel"/>
    <w:tmpl w:val="49C020DE"/>
    <w:lvl w:ilvl="0" w:tentative="0">
      <w:start w:val="1"/>
      <w:numFmt w:val="decimal"/>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3">
    <w:nsid w:val="59F003E2"/>
    <w:multiLevelType w:val="multilevel"/>
    <w:tmpl w:val="59F003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DE53564"/>
    <w:multiLevelType w:val="multilevel"/>
    <w:tmpl w:val="6DE53564"/>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2076A"/>
    <w:rsid w:val="49F207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Subtitle"/>
    <w:basedOn w:val="1"/>
    <w:qFormat/>
    <w:uiPriority w:val="0"/>
    <w:pPr>
      <w:keepNext/>
      <w:suppressAutoHyphens/>
      <w:overflowPunct w:val="0"/>
      <w:spacing w:before="60" w:after="120"/>
      <w:jc w:val="center"/>
    </w:pPr>
    <w:rPr>
      <w:rFonts w:ascii="Liberation Sans" w:hAnsi="Liberation Sans" w:eastAsia="微软雅黑" w:cs="FreeSans"/>
      <w:color w:val="00000A"/>
      <w:kern w:val="0"/>
      <w:sz w:val="36"/>
      <w:szCs w:val="36"/>
      <w:lang w:bidi="hi-IN"/>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2017-06-22T13:47:00Z</dcterms:created>
  <dc:creator>sola_sin</dc:creator>
  <cp:lastModifiedBy>sola_sin</cp:lastModifiedBy>
  <dcterms:modified xsi:type="dcterms:W3CDTF">2017-06-22T13:48:00Z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