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DD625" w14:textId="62A99625" w:rsidR="00787ED4" w:rsidRDefault="00787ED4" w:rsidP="00787ED4">
      <w:pPr>
        <w:spacing w:after="0" w:line="240" w:lineRule="auto"/>
        <w:ind w:left="720" w:hanging="360"/>
        <w:jc w:val="center"/>
      </w:pPr>
      <w:r>
        <w:t>Exam 1</w:t>
      </w:r>
    </w:p>
    <w:p w14:paraId="42414077" w14:textId="62D7E813" w:rsidR="00787ED4" w:rsidRDefault="00787ED4" w:rsidP="00787ED4">
      <w:pPr>
        <w:spacing w:after="0" w:line="240" w:lineRule="auto"/>
        <w:ind w:left="720" w:hanging="360"/>
        <w:jc w:val="center"/>
      </w:pPr>
      <w:r>
        <w:t>Research Methods</w:t>
      </w:r>
    </w:p>
    <w:p w14:paraId="5F88EC03" w14:textId="3A56717A" w:rsidR="00787ED4" w:rsidRDefault="00787ED4" w:rsidP="00787ED4">
      <w:pPr>
        <w:spacing w:after="0" w:line="240" w:lineRule="auto"/>
        <w:ind w:left="720" w:hanging="360"/>
        <w:jc w:val="center"/>
      </w:pPr>
      <w:r>
        <w:t>2/6/2024</w:t>
      </w:r>
    </w:p>
    <w:p w14:paraId="7F268B01" w14:textId="77777777" w:rsidR="00787ED4" w:rsidRDefault="00787ED4" w:rsidP="00787ED4">
      <w:pPr>
        <w:spacing w:after="0" w:line="240" w:lineRule="auto"/>
        <w:ind w:left="720" w:hanging="360"/>
        <w:jc w:val="center"/>
      </w:pPr>
    </w:p>
    <w:p w14:paraId="1D75F5DD" w14:textId="71A399B1" w:rsidR="008D1035" w:rsidRDefault="005B5F3F" w:rsidP="008C04E6">
      <w:pPr>
        <w:pStyle w:val="ListParagraph"/>
        <w:numPr>
          <w:ilvl w:val="0"/>
          <w:numId w:val="3"/>
        </w:numPr>
      </w:pPr>
      <w:r>
        <w:t xml:space="preserve">As we discussed in class, while poverty is related to </w:t>
      </w:r>
      <w:r w:rsidR="00C6786A">
        <w:t xml:space="preserve">fatal drug overdose and/or </w:t>
      </w:r>
      <w:r>
        <w:t xml:space="preserve">misuse, explanations centered on poverty </w:t>
      </w:r>
      <w:r w:rsidR="00CC31AE">
        <w:t xml:space="preserve">as a primary causal mechanism </w:t>
      </w:r>
      <w:r>
        <w:t xml:space="preserve">are lacking. One reason is </w:t>
      </w:r>
      <w:r w:rsidR="00CC31AE">
        <w:t>due to the following observation that we discussed in class: many</w:t>
      </w:r>
      <w:r>
        <w:t xml:space="preserve"> </w:t>
      </w:r>
      <w:r w:rsidR="00CC31AE">
        <w:t>impoverished</w:t>
      </w:r>
      <w:r>
        <w:t xml:space="preserve"> neighborhoods have low rates of drug overdose, and </w:t>
      </w:r>
      <w:r>
        <w:t>conversely,</w:t>
      </w:r>
      <w:r>
        <w:t xml:space="preserve"> we can identify wealthy neighborhoods with relatively higher rates of drug overdose compared to impoverished neighborhoods. </w:t>
      </w:r>
    </w:p>
    <w:p w14:paraId="4C1C5FF3" w14:textId="77777777" w:rsidR="008D1035" w:rsidRDefault="008D1035" w:rsidP="008D1035">
      <w:pPr>
        <w:pStyle w:val="ListParagraph"/>
      </w:pPr>
    </w:p>
    <w:p w14:paraId="1D7BCFBE" w14:textId="46E756D6" w:rsidR="008D1035" w:rsidRDefault="005B5F3F" w:rsidP="008D1035">
      <w:pPr>
        <w:pStyle w:val="ListParagraph"/>
      </w:pPr>
      <w:r>
        <w:t xml:space="preserve">As you know, during COVID-19, we saw a huge spike in fatal drug-related overdoses, particularly in areas of high deprivation. </w:t>
      </w:r>
      <w:r w:rsidR="00D4592D">
        <w:t>Whether</w:t>
      </w:r>
      <w:r>
        <w:t xml:space="preserve"> </w:t>
      </w:r>
      <w:r w:rsidR="00D4592D">
        <w:t xml:space="preserve">the COVID-19 pandemic was responsible for driving the drug </w:t>
      </w:r>
      <w:r w:rsidR="001D2AE2">
        <w:t>overdose epidemic is</w:t>
      </w:r>
      <w:r>
        <w:t xml:space="preserve"> largely unknown. </w:t>
      </w:r>
      <w:r w:rsidR="001D2AE2">
        <w:t xml:space="preserve">Drug use increased in the US dramatically in the decade prior to COVID. So, </w:t>
      </w:r>
      <w:r>
        <w:t xml:space="preserve">is not satisfying to merely claim that COVID exacerbated pre-existing socioeconomic vulnerabilities particularly because COVID-19 affected everyone, albeit not equally. </w:t>
      </w:r>
    </w:p>
    <w:p w14:paraId="14076A4A" w14:textId="77777777" w:rsidR="008D1035" w:rsidRDefault="008D1035" w:rsidP="008D1035">
      <w:pPr>
        <w:pStyle w:val="ListParagraph"/>
      </w:pPr>
    </w:p>
    <w:p w14:paraId="025A7D25" w14:textId="2874FD38" w:rsidR="008D1035" w:rsidRDefault="005B5F3F" w:rsidP="008D1035">
      <w:pPr>
        <w:pStyle w:val="ListParagraph"/>
      </w:pPr>
      <w:r>
        <w:t xml:space="preserve">I am working on a study that links the contagion of an infectious disease outbreak with the contagion of </w:t>
      </w:r>
      <w:r w:rsidR="004D1F24">
        <w:t>social</w:t>
      </w:r>
      <w:r>
        <w:t xml:space="preserve"> behavior, such as drug misuse. </w:t>
      </w:r>
      <w:r w:rsidR="00071564">
        <w:t xml:space="preserve">The idea is that drug misuse, the human </w:t>
      </w:r>
      <w:r w:rsidR="004D1F24">
        <w:t>social</w:t>
      </w:r>
      <w:r w:rsidR="00071564">
        <w:t xml:space="preserve"> layer, co-evolves with </w:t>
      </w:r>
      <w:r w:rsidR="00E40A29">
        <w:t xml:space="preserve">an </w:t>
      </w:r>
      <w:r w:rsidR="00071564">
        <w:t>infectious disease, in the present case, COVID-19. As stated in our work, the central idea is that while an infectious disease can be characterized as spreading via physical contact</w:t>
      </w:r>
      <w:r w:rsidR="004D1F24">
        <w:t>,</w:t>
      </w:r>
      <w:r w:rsidR="00071564">
        <w:t xml:space="preserve"> it</w:t>
      </w:r>
      <w:r w:rsidR="00E40A29">
        <w:t>s</w:t>
      </w:r>
      <w:r w:rsidR="00071564">
        <w:t xml:space="preserve"> affects and may be moderated by </w:t>
      </w:r>
      <w:r w:rsidR="004D1F24">
        <w:t xml:space="preserve">social behaviors </w:t>
      </w:r>
      <w:r w:rsidR="00071564">
        <w:t xml:space="preserve">which themselves spread </w:t>
      </w:r>
      <w:proofErr w:type="gramStart"/>
      <w:r w:rsidR="004D1F24">
        <w:t>similar to</w:t>
      </w:r>
      <w:proofErr w:type="gramEnd"/>
      <w:r w:rsidR="004D1F24">
        <w:t xml:space="preserve"> infectious disease contagion</w:t>
      </w:r>
      <w:r w:rsidR="00071564">
        <w:t xml:space="preserve">. </w:t>
      </w:r>
      <w:r w:rsidR="007F5444">
        <w:t xml:space="preserve">One caveat: </w:t>
      </w:r>
      <w:r w:rsidR="00071564">
        <w:t xml:space="preserve">we </w:t>
      </w:r>
      <w:r w:rsidR="007F5444">
        <w:t>have no</w:t>
      </w:r>
      <w:r w:rsidR="00071564">
        <w:t xml:space="preserve"> data </w:t>
      </w:r>
      <w:r w:rsidR="007F1990">
        <w:t xml:space="preserve">about the </w:t>
      </w:r>
      <w:r w:rsidR="007F5444">
        <w:t>nature of inter</w:t>
      </w:r>
      <w:r w:rsidR="00071564">
        <w:t xml:space="preserve">personal </w:t>
      </w:r>
      <w:r w:rsidR="007F1990">
        <w:t>relationships</w:t>
      </w:r>
      <w:r w:rsidR="001511D3">
        <w:t>;</w:t>
      </w:r>
      <w:r w:rsidR="00071564">
        <w:t xml:space="preserve"> we are rather claiming that behaviors spread by virtue of proximity in both space and time</w:t>
      </w:r>
      <w:r w:rsidR="007F5444">
        <w:t xml:space="preserve">, </w:t>
      </w:r>
      <w:proofErr w:type="gramStart"/>
      <w:r w:rsidR="007F5444">
        <w:t>similar to</w:t>
      </w:r>
      <w:proofErr w:type="gramEnd"/>
      <w:r w:rsidR="007F5444">
        <w:t xml:space="preserve"> an infectious disease (clearly you need not know someone to </w:t>
      </w:r>
      <w:r w:rsidR="00541011">
        <w:t>be infected by them with COVID)</w:t>
      </w:r>
      <w:r w:rsidR="00071564">
        <w:t xml:space="preserve">. </w:t>
      </w:r>
      <w:r w:rsidR="00541011">
        <w:t xml:space="preserve">So, </w:t>
      </w:r>
      <w:r w:rsidR="001511D3">
        <w:t xml:space="preserve">to summarize, </w:t>
      </w:r>
      <w:r w:rsidR="00541011">
        <w:t>our model assumes that social</w:t>
      </w:r>
      <w:r w:rsidR="00071564">
        <w:t xml:space="preserve"> behavior can be spread through personal networks without </w:t>
      </w:r>
      <w:r w:rsidR="00541011">
        <w:t xml:space="preserve">regard to whether the individuals </w:t>
      </w:r>
      <w:r w:rsidR="00B21734">
        <w:t>know each other or not</w:t>
      </w:r>
      <w:r w:rsidR="00071564">
        <w:t xml:space="preserve">, </w:t>
      </w:r>
      <w:r w:rsidR="00B21734">
        <w:t xml:space="preserve">their behaviors ‘spread’ </w:t>
      </w:r>
      <w:r w:rsidR="00071564">
        <w:t xml:space="preserve">by virtue of </w:t>
      </w:r>
      <w:r w:rsidR="00B21734">
        <w:t xml:space="preserve">them being in </w:t>
      </w:r>
      <w:r w:rsidR="00071564">
        <w:t xml:space="preserve">proximity </w:t>
      </w:r>
      <w:r w:rsidR="00B21734">
        <w:t xml:space="preserve">of each other </w:t>
      </w:r>
      <w:r w:rsidR="00071564">
        <w:t>in space and time</w:t>
      </w:r>
      <w:r w:rsidR="004D1F24">
        <w:t>, and further than the spread of social behavior is influenced by the disease spread</w:t>
      </w:r>
      <w:r w:rsidR="00071564">
        <w:t xml:space="preserve">. </w:t>
      </w:r>
      <w:r w:rsidR="00EC2878">
        <w:t>Social networks that form by virtue of</w:t>
      </w:r>
      <w:r w:rsidR="00530806">
        <w:t xml:space="preserve"> “being at the same place at the same time” are referred to as proximity-based social networks. </w:t>
      </w:r>
      <w:r w:rsidR="00071564">
        <w:t>Following through with the example, two people who seek to purchase drugs can come from anywhere in the city to</w:t>
      </w:r>
      <w:r w:rsidR="003B339A">
        <w:t xml:space="preserve"> a</w:t>
      </w:r>
      <w:r w:rsidR="00071564">
        <w:t xml:space="preserve"> neighborhood </w:t>
      </w:r>
      <w:r w:rsidR="003B339A">
        <w:t xml:space="preserve">that is </w:t>
      </w:r>
      <w:r w:rsidR="00B21734">
        <w:t>know</w:t>
      </w:r>
      <w:r w:rsidR="003B339A">
        <w:t>n</w:t>
      </w:r>
      <w:r w:rsidR="00B21734">
        <w:t xml:space="preserve"> </w:t>
      </w:r>
      <w:r w:rsidR="003B339A">
        <w:t xml:space="preserve">as an </w:t>
      </w:r>
      <w:r w:rsidR="00B21734">
        <w:t>area where drugs are readily available</w:t>
      </w:r>
      <w:r w:rsidR="00071564">
        <w:t>, and by virtue of being in the same place at the same time</w:t>
      </w:r>
      <w:r w:rsidR="00B21734">
        <w:t>,</w:t>
      </w:r>
      <w:r w:rsidR="00071564">
        <w:t xml:space="preserve"> may die from a fatal drug overdose</w:t>
      </w:r>
      <w:r w:rsidR="003B339A">
        <w:t xml:space="preserve"> after purchasing </w:t>
      </w:r>
      <w:r w:rsidR="00267068">
        <w:t>drugs</w:t>
      </w:r>
      <w:r w:rsidR="00071564">
        <w:t>.</w:t>
      </w:r>
    </w:p>
    <w:p w14:paraId="11062C4A" w14:textId="77777777" w:rsidR="008D1035" w:rsidRDefault="008D1035" w:rsidP="008D1035">
      <w:pPr>
        <w:pStyle w:val="ListParagraph"/>
      </w:pPr>
    </w:p>
    <w:p w14:paraId="5D81FB89" w14:textId="027FA744" w:rsidR="003055E6" w:rsidRDefault="00071564" w:rsidP="008D1035">
      <w:pPr>
        <w:pStyle w:val="ListParagraph"/>
      </w:pPr>
      <w:r>
        <w:t>In this question, I am asking you to think through th</w:t>
      </w:r>
      <w:r w:rsidR="00592532">
        <w:t xml:space="preserve">e causal mechanisms </w:t>
      </w:r>
      <w:r>
        <w:t>to identify the strengths and weaknesses of the study. Please do your best to answer the questions below:</w:t>
      </w:r>
    </w:p>
    <w:p w14:paraId="76409B50" w14:textId="77777777" w:rsidR="003055E6" w:rsidRDefault="003055E6">
      <w:r>
        <w:br w:type="page"/>
      </w:r>
    </w:p>
    <w:p w14:paraId="3DAFE06E" w14:textId="66CD80E2" w:rsidR="0017446F" w:rsidRDefault="00071564" w:rsidP="00C06EA6">
      <w:pPr>
        <w:pStyle w:val="ListParagraph"/>
        <w:numPr>
          <w:ilvl w:val="0"/>
          <w:numId w:val="4"/>
        </w:numPr>
      </w:pPr>
      <w:r>
        <w:lastRenderedPageBreak/>
        <w:t>In our model, the spread of behaviors, or social contagion, is the result of a “pathogen-induced response</w:t>
      </w:r>
      <w:r w:rsidR="003F5C83">
        <w:t>.</w:t>
      </w:r>
      <w:r>
        <w:t>”</w:t>
      </w:r>
      <w:r w:rsidR="003F5C83">
        <w:t xml:space="preserve"> </w:t>
      </w:r>
      <w:r w:rsidR="00A54E45" w:rsidRPr="00830370">
        <w:rPr>
          <w:b/>
          <w:bCs/>
        </w:rPr>
        <w:t>D</w:t>
      </w:r>
      <w:r w:rsidR="003F5C83" w:rsidRPr="00830370">
        <w:rPr>
          <w:b/>
          <w:bCs/>
        </w:rPr>
        <w:t>escribe</w:t>
      </w:r>
      <w:r w:rsidR="003F5C83">
        <w:t xml:space="preserve"> </w:t>
      </w:r>
      <w:r w:rsidR="003F5C83" w:rsidRPr="00830370">
        <w:rPr>
          <w:u w:val="single"/>
        </w:rPr>
        <w:t>two</w:t>
      </w:r>
      <w:r w:rsidR="003F5C83">
        <w:t xml:space="preserve"> mechanisms by which the physical spread of COVID-19 may result in the spread of </w:t>
      </w:r>
      <w:r w:rsidR="00DA665C">
        <w:t>drug misuse</w:t>
      </w:r>
      <w:r w:rsidR="003F5C83">
        <w:t xml:space="preserve"> in a </w:t>
      </w:r>
      <w:r w:rsidR="003F5C83" w:rsidRPr="0017446F">
        <w:rPr>
          <w:i/>
          <w:iCs/>
        </w:rPr>
        <w:t>proximity-based</w:t>
      </w:r>
      <w:r w:rsidR="003F5C83">
        <w:t xml:space="preserve"> social network</w:t>
      </w:r>
      <w:r w:rsidR="00897D06">
        <w:t xml:space="preserve"> and the posited relationships</w:t>
      </w:r>
      <w:r w:rsidR="003F5C83">
        <w:t>.</w:t>
      </w:r>
      <w:r w:rsidR="00D63977">
        <w:t xml:space="preserve"> </w:t>
      </w:r>
      <w:r w:rsidR="00D63977" w:rsidRPr="00830370">
        <w:rPr>
          <w:b/>
          <w:bCs/>
        </w:rPr>
        <w:t>Draw</w:t>
      </w:r>
      <w:r w:rsidR="00D63977">
        <w:t xml:space="preserve"> </w:t>
      </w:r>
      <w:r w:rsidR="009D591E">
        <w:t xml:space="preserve">a picture </w:t>
      </w:r>
      <w:r w:rsidR="00E7387B">
        <w:t xml:space="preserve">of the conceptual model </w:t>
      </w:r>
      <w:r w:rsidR="009D591E">
        <w:t>to represent the relationship</w:t>
      </w:r>
      <w:r w:rsidR="00E7387B">
        <w:t>s</w:t>
      </w:r>
      <w:r w:rsidR="009D591E">
        <w:t>.</w:t>
      </w:r>
    </w:p>
    <w:p w14:paraId="688F2114" w14:textId="77777777" w:rsidR="0017446F" w:rsidRDefault="0017446F" w:rsidP="0017446F">
      <w:pPr>
        <w:pStyle w:val="ListParagraph"/>
        <w:ind w:left="1080"/>
      </w:pPr>
    </w:p>
    <w:p w14:paraId="14011A6A" w14:textId="77777777" w:rsidR="003055E6" w:rsidRDefault="003055E6" w:rsidP="0017446F">
      <w:pPr>
        <w:pStyle w:val="ListParagraph"/>
        <w:ind w:left="1080"/>
      </w:pPr>
    </w:p>
    <w:p w14:paraId="1E323B2D" w14:textId="77777777" w:rsidR="003055E6" w:rsidRDefault="003055E6" w:rsidP="0017446F">
      <w:pPr>
        <w:pStyle w:val="ListParagraph"/>
        <w:ind w:left="1080"/>
      </w:pPr>
    </w:p>
    <w:p w14:paraId="28997B6F" w14:textId="77777777" w:rsidR="003055E6" w:rsidRDefault="003055E6" w:rsidP="0017446F">
      <w:pPr>
        <w:pStyle w:val="ListParagraph"/>
        <w:ind w:left="1080"/>
      </w:pPr>
    </w:p>
    <w:p w14:paraId="450F9AA7" w14:textId="77777777" w:rsidR="003055E6" w:rsidRDefault="003055E6" w:rsidP="0017446F">
      <w:pPr>
        <w:pStyle w:val="ListParagraph"/>
        <w:ind w:left="1080"/>
      </w:pPr>
    </w:p>
    <w:p w14:paraId="3B95F114" w14:textId="77777777" w:rsidR="003055E6" w:rsidRDefault="003055E6" w:rsidP="0017446F">
      <w:pPr>
        <w:pStyle w:val="ListParagraph"/>
        <w:ind w:left="1080"/>
      </w:pPr>
    </w:p>
    <w:p w14:paraId="15931845" w14:textId="77777777" w:rsidR="003055E6" w:rsidRDefault="003055E6" w:rsidP="0017446F">
      <w:pPr>
        <w:pStyle w:val="ListParagraph"/>
        <w:ind w:left="1080"/>
      </w:pPr>
    </w:p>
    <w:p w14:paraId="50B92595" w14:textId="77777777" w:rsidR="003055E6" w:rsidRDefault="003055E6" w:rsidP="0017446F">
      <w:pPr>
        <w:pStyle w:val="ListParagraph"/>
        <w:ind w:left="1080"/>
      </w:pPr>
    </w:p>
    <w:p w14:paraId="5D283853" w14:textId="77777777" w:rsidR="003055E6" w:rsidRDefault="003055E6" w:rsidP="0017446F">
      <w:pPr>
        <w:pStyle w:val="ListParagraph"/>
        <w:ind w:left="1080"/>
      </w:pPr>
    </w:p>
    <w:p w14:paraId="52FBF53F" w14:textId="77777777" w:rsidR="003055E6" w:rsidRDefault="003055E6" w:rsidP="0017446F">
      <w:pPr>
        <w:pStyle w:val="ListParagraph"/>
        <w:ind w:left="1080"/>
      </w:pPr>
    </w:p>
    <w:p w14:paraId="379034A4" w14:textId="77777777" w:rsidR="003055E6" w:rsidRDefault="003055E6" w:rsidP="0017446F">
      <w:pPr>
        <w:pStyle w:val="ListParagraph"/>
        <w:ind w:left="1080"/>
      </w:pPr>
    </w:p>
    <w:p w14:paraId="666F5F56" w14:textId="77777777" w:rsidR="003055E6" w:rsidRDefault="003055E6" w:rsidP="0017446F">
      <w:pPr>
        <w:pStyle w:val="ListParagraph"/>
        <w:ind w:left="1080"/>
      </w:pPr>
    </w:p>
    <w:p w14:paraId="5161C561" w14:textId="77777777" w:rsidR="003055E6" w:rsidRDefault="003055E6" w:rsidP="0017446F">
      <w:pPr>
        <w:pStyle w:val="ListParagraph"/>
        <w:ind w:left="1080"/>
      </w:pPr>
    </w:p>
    <w:p w14:paraId="16EBD248" w14:textId="77777777" w:rsidR="003055E6" w:rsidRDefault="003055E6" w:rsidP="0017446F">
      <w:pPr>
        <w:pStyle w:val="ListParagraph"/>
        <w:ind w:left="1080"/>
      </w:pPr>
    </w:p>
    <w:p w14:paraId="37929655" w14:textId="77777777" w:rsidR="003055E6" w:rsidRDefault="003055E6" w:rsidP="0017446F">
      <w:pPr>
        <w:pStyle w:val="ListParagraph"/>
        <w:ind w:left="1080"/>
      </w:pPr>
    </w:p>
    <w:p w14:paraId="04BBA673" w14:textId="77777777" w:rsidR="003055E6" w:rsidRDefault="003055E6" w:rsidP="0017446F">
      <w:pPr>
        <w:pStyle w:val="ListParagraph"/>
        <w:ind w:left="1080"/>
      </w:pPr>
    </w:p>
    <w:p w14:paraId="02E06671" w14:textId="77777777" w:rsidR="003055E6" w:rsidRDefault="003055E6" w:rsidP="0017446F">
      <w:pPr>
        <w:pStyle w:val="ListParagraph"/>
        <w:ind w:left="1080"/>
      </w:pPr>
    </w:p>
    <w:p w14:paraId="42A47F0B" w14:textId="595DC7C9" w:rsidR="004F34D6" w:rsidRDefault="009D591E" w:rsidP="0017446F">
      <w:pPr>
        <w:pStyle w:val="ListParagraph"/>
        <w:numPr>
          <w:ilvl w:val="0"/>
          <w:numId w:val="4"/>
        </w:numPr>
      </w:pPr>
      <w:r>
        <w:t>There may be some factors</w:t>
      </w:r>
      <w:r w:rsidR="00FA38F7">
        <w:t xml:space="preserve"> that </w:t>
      </w:r>
      <w:r w:rsidR="00DA665C">
        <w:t>alter</w:t>
      </w:r>
      <w:r w:rsidR="00FA38F7">
        <w:t xml:space="preserve"> the association between the spread of </w:t>
      </w:r>
      <w:r w:rsidR="00DA665C">
        <w:t xml:space="preserve">disease and the </w:t>
      </w:r>
      <w:r w:rsidR="00C71DF4">
        <w:t xml:space="preserve">social contagion of </w:t>
      </w:r>
      <w:r w:rsidR="00DA665C">
        <w:t xml:space="preserve">drug </w:t>
      </w:r>
      <w:r w:rsidR="00C71DF4">
        <w:t>mis</w:t>
      </w:r>
      <w:r w:rsidR="00DA665C">
        <w:t>use.</w:t>
      </w:r>
      <w:r w:rsidR="00C71DF4">
        <w:t xml:space="preserve"> </w:t>
      </w:r>
      <w:r w:rsidR="00C71DF4" w:rsidRPr="00897D06">
        <w:rPr>
          <w:b/>
          <w:bCs/>
        </w:rPr>
        <w:t>Describe</w:t>
      </w:r>
      <w:r w:rsidR="00C71DF4">
        <w:t xml:space="preserve"> </w:t>
      </w:r>
      <w:r w:rsidR="00C71DF4" w:rsidRPr="00897D06">
        <w:rPr>
          <w:u w:val="single"/>
        </w:rPr>
        <w:t>two</w:t>
      </w:r>
      <w:r w:rsidR="00C71DF4">
        <w:t xml:space="preserve"> such factors</w:t>
      </w:r>
      <w:r w:rsidR="004F34D6">
        <w:t xml:space="preserve"> </w:t>
      </w:r>
      <w:r w:rsidR="00897D06">
        <w:t>and the posited relationships</w:t>
      </w:r>
      <w:r w:rsidR="00897D06">
        <w:t xml:space="preserve"> between them. D</w:t>
      </w:r>
      <w:r w:rsidR="004F34D6">
        <w:t>raw a picture of the conceptual model to describe the relationships.</w:t>
      </w:r>
    </w:p>
    <w:p w14:paraId="1B150636" w14:textId="77777777" w:rsidR="00CA2C2D" w:rsidRDefault="00CA2C2D" w:rsidP="004F34D6">
      <w:pPr>
        <w:pStyle w:val="ListParagraph"/>
      </w:pPr>
    </w:p>
    <w:p w14:paraId="636071DA" w14:textId="77777777" w:rsidR="003055E6" w:rsidRDefault="003055E6" w:rsidP="004F34D6">
      <w:pPr>
        <w:pStyle w:val="ListParagraph"/>
      </w:pPr>
    </w:p>
    <w:p w14:paraId="48BCCF70" w14:textId="77777777" w:rsidR="003055E6" w:rsidRDefault="003055E6" w:rsidP="004F34D6">
      <w:pPr>
        <w:pStyle w:val="ListParagraph"/>
      </w:pPr>
    </w:p>
    <w:p w14:paraId="4C10F894" w14:textId="77777777" w:rsidR="003055E6" w:rsidRDefault="003055E6" w:rsidP="004F34D6">
      <w:pPr>
        <w:pStyle w:val="ListParagraph"/>
      </w:pPr>
    </w:p>
    <w:p w14:paraId="72638E34" w14:textId="77777777" w:rsidR="003055E6" w:rsidRDefault="003055E6" w:rsidP="004F34D6">
      <w:pPr>
        <w:pStyle w:val="ListParagraph"/>
      </w:pPr>
    </w:p>
    <w:p w14:paraId="45FAD2EB" w14:textId="77777777" w:rsidR="003055E6" w:rsidRDefault="003055E6" w:rsidP="004F34D6">
      <w:pPr>
        <w:pStyle w:val="ListParagraph"/>
      </w:pPr>
    </w:p>
    <w:p w14:paraId="6C90E6B3" w14:textId="77777777" w:rsidR="003055E6" w:rsidRDefault="003055E6" w:rsidP="004F34D6">
      <w:pPr>
        <w:pStyle w:val="ListParagraph"/>
      </w:pPr>
    </w:p>
    <w:p w14:paraId="2FDFCF4F" w14:textId="77777777" w:rsidR="003055E6" w:rsidRDefault="003055E6" w:rsidP="004F34D6">
      <w:pPr>
        <w:pStyle w:val="ListParagraph"/>
      </w:pPr>
    </w:p>
    <w:p w14:paraId="5CEC0329" w14:textId="77777777" w:rsidR="003055E6" w:rsidRDefault="003055E6" w:rsidP="004F34D6">
      <w:pPr>
        <w:pStyle w:val="ListParagraph"/>
      </w:pPr>
    </w:p>
    <w:p w14:paraId="381407BF" w14:textId="77777777" w:rsidR="003055E6" w:rsidRDefault="003055E6" w:rsidP="004F34D6">
      <w:pPr>
        <w:pStyle w:val="ListParagraph"/>
      </w:pPr>
    </w:p>
    <w:p w14:paraId="2BB04EDB" w14:textId="77777777" w:rsidR="003055E6" w:rsidRDefault="003055E6" w:rsidP="004F34D6">
      <w:pPr>
        <w:pStyle w:val="ListParagraph"/>
      </w:pPr>
    </w:p>
    <w:p w14:paraId="67DC9CF8" w14:textId="77777777" w:rsidR="003055E6" w:rsidRDefault="003055E6" w:rsidP="004F34D6">
      <w:pPr>
        <w:pStyle w:val="ListParagraph"/>
      </w:pPr>
    </w:p>
    <w:p w14:paraId="3D82B832" w14:textId="77777777" w:rsidR="003055E6" w:rsidRDefault="003055E6" w:rsidP="004F34D6">
      <w:pPr>
        <w:pStyle w:val="ListParagraph"/>
      </w:pPr>
    </w:p>
    <w:p w14:paraId="0C62E362" w14:textId="77777777" w:rsidR="003055E6" w:rsidRDefault="003055E6" w:rsidP="004F34D6">
      <w:pPr>
        <w:pStyle w:val="ListParagraph"/>
      </w:pPr>
    </w:p>
    <w:p w14:paraId="1DA23AEC" w14:textId="77777777" w:rsidR="003055E6" w:rsidRDefault="003055E6" w:rsidP="004F34D6">
      <w:pPr>
        <w:pStyle w:val="ListParagraph"/>
      </w:pPr>
    </w:p>
    <w:p w14:paraId="6F258A8F" w14:textId="77777777" w:rsidR="003055E6" w:rsidRDefault="003055E6" w:rsidP="004F34D6">
      <w:pPr>
        <w:pStyle w:val="ListParagraph"/>
      </w:pPr>
    </w:p>
    <w:p w14:paraId="03F37D8A" w14:textId="77777777" w:rsidR="003055E6" w:rsidRDefault="003055E6" w:rsidP="004F34D6">
      <w:pPr>
        <w:pStyle w:val="ListParagraph"/>
      </w:pPr>
    </w:p>
    <w:p w14:paraId="0C262894" w14:textId="77777777" w:rsidR="003055E6" w:rsidRDefault="003055E6" w:rsidP="004F34D6">
      <w:pPr>
        <w:pStyle w:val="ListParagraph"/>
      </w:pPr>
    </w:p>
    <w:p w14:paraId="32DE931A" w14:textId="77777777" w:rsidR="003055E6" w:rsidRDefault="003055E6" w:rsidP="004F34D6">
      <w:pPr>
        <w:pStyle w:val="ListParagraph"/>
      </w:pPr>
    </w:p>
    <w:p w14:paraId="58AADFE9" w14:textId="77777777" w:rsidR="003055E6" w:rsidRDefault="003055E6" w:rsidP="004F34D6">
      <w:pPr>
        <w:pStyle w:val="ListParagraph"/>
      </w:pPr>
    </w:p>
    <w:p w14:paraId="3BF86835" w14:textId="77777777" w:rsidR="003055E6" w:rsidRDefault="003055E6" w:rsidP="004F34D6">
      <w:pPr>
        <w:pStyle w:val="ListParagraph"/>
      </w:pPr>
    </w:p>
    <w:p w14:paraId="7FCA66C7" w14:textId="2656EC00" w:rsidR="000F41B7" w:rsidRDefault="001C2DAD" w:rsidP="0017446F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Now focus only on the social contagion piece. </w:t>
      </w:r>
      <w:r w:rsidR="000F41B7">
        <w:rPr>
          <w:b/>
          <w:bCs/>
        </w:rPr>
        <w:t xml:space="preserve">We need to demonstrate that drug misuse spreads between individuals. Clearly, for this to be true, individuals must be co-located in an area at the same time. </w:t>
      </w:r>
      <w:r w:rsidR="000F41B7">
        <w:t>In other words, i</w:t>
      </w:r>
      <w:r w:rsidR="000F41B7">
        <w:t xml:space="preserve">f the drug misuse spreads via person-to-person contact, then to demonstrate social contagion, we need to show that using drugs at a given location at time 1 influences drug use at a nearby location at time 2. </w:t>
      </w:r>
      <w:r w:rsidR="001A5585">
        <w:t xml:space="preserve">Behaviors that take place at similar times and locations is called dependence. </w:t>
      </w:r>
      <w:r w:rsidR="000F41B7">
        <w:t>For example, we might consider drug use behavior within 3 city blocks. If someone uses drugs at 2pm then if someone located within those 3 blocks uses drugs at 2:05pm we have evidence that drug use behavior ‘spreads.’ Or do we?</w:t>
      </w:r>
    </w:p>
    <w:p w14:paraId="12D5E42B" w14:textId="77777777" w:rsidR="000F41B7" w:rsidRDefault="000F41B7" w:rsidP="000F41B7">
      <w:pPr>
        <w:pStyle w:val="ListParagraph"/>
      </w:pPr>
    </w:p>
    <w:p w14:paraId="1613A986" w14:textId="449C296C" w:rsidR="00CD2753" w:rsidRDefault="00CA2C2D" w:rsidP="000F41B7">
      <w:pPr>
        <w:pStyle w:val="ListParagraph"/>
        <w:ind w:left="1080"/>
      </w:pPr>
      <w:proofErr w:type="spellStart"/>
      <w:r>
        <w:t>The</w:t>
      </w:r>
      <w:proofErr w:type="spellEnd"/>
      <w:r>
        <w:t xml:space="preserve"> risk of drug misuse </w:t>
      </w:r>
      <w:r w:rsidR="004D1F24" w:rsidRPr="004D1F24">
        <w:rPr>
          <w:i/>
          <w:iCs/>
        </w:rPr>
        <w:t>may</w:t>
      </w:r>
      <w:r w:rsidR="004D1F24">
        <w:t xml:space="preserve"> </w:t>
      </w:r>
      <w:r>
        <w:t>var</w:t>
      </w:r>
      <w:r w:rsidR="004D1F24">
        <w:t>y</w:t>
      </w:r>
      <w:r>
        <w:t xml:space="preserve"> in</w:t>
      </w:r>
      <w:r w:rsidR="003D1B15">
        <w:t xml:space="preserve"> space and time because of </w:t>
      </w:r>
      <w:r w:rsidR="00676C4D">
        <w:t xml:space="preserve">differences in neighborhood level risks, </w:t>
      </w:r>
      <w:r w:rsidR="00DA65E6">
        <w:t xml:space="preserve">including but not limited to socio-economic characteristics, </w:t>
      </w:r>
      <w:r w:rsidR="004E1701">
        <w:t xml:space="preserve">police presence, land use patterns, and transportation accessibility. </w:t>
      </w:r>
      <w:r w:rsidR="008B52D0">
        <w:t>To</w:t>
      </w:r>
      <w:r w:rsidR="00502FCA">
        <w:t xml:space="preserve"> properly characterize the spread of</w:t>
      </w:r>
      <w:r w:rsidR="00177088">
        <w:t xml:space="preserve"> drug misuse</w:t>
      </w:r>
      <w:r w:rsidR="00115E6C">
        <w:t xml:space="preserve"> from person to person we need to account for the underlying spatial risks. </w:t>
      </w:r>
      <w:r w:rsidR="003D69A7">
        <w:t xml:space="preserve">If we do not, then it is impossible to tell whether the spread is due </w:t>
      </w:r>
      <w:r w:rsidR="002A28F8">
        <w:t xml:space="preserve">neighborhood level </w:t>
      </w:r>
      <w:r w:rsidR="003D69A7">
        <w:t>risk factor</w:t>
      </w:r>
      <w:r w:rsidR="002A28F8">
        <w:t>s</w:t>
      </w:r>
      <w:r w:rsidR="003D69A7">
        <w:t xml:space="preserve">, or </w:t>
      </w:r>
      <w:r w:rsidR="002A28F8">
        <w:t xml:space="preserve">rather </w:t>
      </w:r>
      <w:r w:rsidR="004D1F24">
        <w:t>due to</w:t>
      </w:r>
      <w:r w:rsidR="007604D4">
        <w:t xml:space="preserve"> person to person contact</w:t>
      </w:r>
      <w:r w:rsidR="00382B96">
        <w:t xml:space="preserve"> </w:t>
      </w:r>
      <w:r w:rsidR="004D1F24">
        <w:t>as influenced by</w:t>
      </w:r>
      <w:r w:rsidR="000E2B4B">
        <w:t xml:space="preserve"> </w:t>
      </w:r>
      <w:r w:rsidR="004D1F24">
        <w:t xml:space="preserve">the spread of </w:t>
      </w:r>
      <w:r w:rsidR="000E2B4B">
        <w:t>COVID-19</w:t>
      </w:r>
      <w:r w:rsidR="003D69A7">
        <w:t>.</w:t>
      </w:r>
      <w:r w:rsidR="009A12D5">
        <w:t xml:space="preserve"> </w:t>
      </w:r>
    </w:p>
    <w:p w14:paraId="0B5B30D5" w14:textId="77777777" w:rsidR="00CD2753" w:rsidRDefault="00CD2753" w:rsidP="00CD2753">
      <w:pPr>
        <w:pStyle w:val="ListParagraph"/>
      </w:pPr>
    </w:p>
    <w:p w14:paraId="4876D24A" w14:textId="3072A5B4" w:rsidR="00617574" w:rsidRDefault="00382B96" w:rsidP="00CD2753">
      <w:pPr>
        <w:pStyle w:val="ListParagraph"/>
        <w:ind w:left="1080"/>
      </w:pPr>
      <w:r>
        <w:t>Therefore,</w:t>
      </w:r>
      <w:r w:rsidR="00CD2753">
        <w:t xml:space="preserve"> t</w:t>
      </w:r>
      <w:r w:rsidR="00A02536">
        <w:t xml:space="preserve">here is a clear need </w:t>
      </w:r>
      <w:r w:rsidR="008B52D0">
        <w:t xml:space="preserve">for the study to incorporate both spatial risk factors and dependence </w:t>
      </w:r>
      <w:r w:rsidR="00CD2753">
        <w:t xml:space="preserve">before </w:t>
      </w:r>
      <w:r>
        <w:t xml:space="preserve">a determination can be made that </w:t>
      </w:r>
      <w:r w:rsidR="00CD2753">
        <w:t xml:space="preserve">dependence </w:t>
      </w:r>
      <w:r w:rsidR="00FB5ED5">
        <w:t xml:space="preserve">(resulting from </w:t>
      </w:r>
      <w:r w:rsidR="000A02BF">
        <w:t>proximity alone</w:t>
      </w:r>
      <w:r w:rsidR="00FB5ED5">
        <w:t xml:space="preserve">) </w:t>
      </w:r>
      <w:r w:rsidR="00CD2753">
        <w:t>is causing the behavior to spread</w:t>
      </w:r>
      <w:r w:rsidR="008B52D0">
        <w:t>.</w:t>
      </w:r>
      <w:r w:rsidR="00536234">
        <w:t xml:space="preserve"> </w:t>
      </w:r>
      <w:r w:rsidR="000A02BF">
        <w:t>Stated differently, s</w:t>
      </w:r>
      <w:r w:rsidR="00E97F46">
        <w:t>ome drug use may</w:t>
      </w:r>
      <w:r w:rsidR="00B05C35">
        <w:t xml:space="preserve"> result from</w:t>
      </w:r>
      <w:r w:rsidR="00E97F46">
        <w:t xml:space="preserve"> features of the local environment </w:t>
      </w:r>
      <w:r w:rsidR="009F77CA">
        <w:t xml:space="preserve">(low police presence) </w:t>
      </w:r>
      <w:r w:rsidR="00B05C35">
        <w:t xml:space="preserve">rather than being </w:t>
      </w:r>
      <w:r w:rsidR="009F77CA">
        <w:t xml:space="preserve">influenced by </w:t>
      </w:r>
      <w:r w:rsidR="00E97F46">
        <w:t>others using drugs in the same area</w:t>
      </w:r>
      <w:r w:rsidR="00E404D7">
        <w:t xml:space="preserve"> (dependence)</w:t>
      </w:r>
      <w:r w:rsidR="00E97F46">
        <w:t xml:space="preserve">. </w:t>
      </w:r>
    </w:p>
    <w:p w14:paraId="4E5F2AE7" w14:textId="77777777" w:rsidR="00617574" w:rsidRDefault="00617574" w:rsidP="00CD2753">
      <w:pPr>
        <w:pStyle w:val="ListParagraph"/>
        <w:ind w:left="1080"/>
      </w:pPr>
    </w:p>
    <w:p w14:paraId="1CD332A6" w14:textId="7C1DA1A3" w:rsidR="001A73C3" w:rsidRDefault="00F82620" w:rsidP="00CD2753">
      <w:pPr>
        <w:pStyle w:val="ListParagraph"/>
        <w:ind w:left="1080"/>
      </w:pPr>
      <w:r w:rsidRPr="00FA2341">
        <w:rPr>
          <w:b/>
          <w:bCs/>
        </w:rPr>
        <w:t>Describe</w:t>
      </w:r>
      <w:r>
        <w:t xml:space="preserve"> how these two </w:t>
      </w:r>
      <w:r w:rsidR="004818EE">
        <w:t>different causal mechanisms of spread may lead to confounding</w:t>
      </w:r>
      <w:r w:rsidR="00FA2341">
        <w:t xml:space="preserve">. Then, </w:t>
      </w:r>
      <w:r w:rsidR="004818EE">
        <w:t xml:space="preserve">draw a picture that describes the </w:t>
      </w:r>
      <w:r w:rsidR="00EE33D6">
        <w:t xml:space="preserve">confounding </w:t>
      </w:r>
      <w:r w:rsidR="004818EE">
        <w:t>relationship</w:t>
      </w:r>
      <w:r w:rsidR="00B26665">
        <w:t xml:space="preserve"> between dependence and spatial risk</w:t>
      </w:r>
      <w:r w:rsidR="004818EE">
        <w:t>.</w:t>
      </w:r>
      <w:r w:rsidR="00B12E9C">
        <w:t xml:space="preserve"> (Hint: start with what I am trying to show</w:t>
      </w:r>
      <w:r w:rsidR="002A5476">
        <w:t xml:space="preserve">, which is that drug misuse at time 1 </w:t>
      </w:r>
      <w:r w:rsidR="00431C97">
        <w:t xml:space="preserve">(exposure) </w:t>
      </w:r>
      <w:r w:rsidR="002A5476">
        <w:t>influences drug misuse at time 2</w:t>
      </w:r>
      <w:r w:rsidR="00431C97">
        <w:t xml:space="preserve"> (outcome)).</w:t>
      </w:r>
    </w:p>
    <w:p w14:paraId="4CE9325D" w14:textId="77777777" w:rsidR="0017446F" w:rsidRDefault="0017446F" w:rsidP="0017446F">
      <w:pPr>
        <w:pStyle w:val="ListParagraph"/>
        <w:ind w:left="1080"/>
      </w:pPr>
    </w:p>
    <w:p w14:paraId="01C682C5" w14:textId="77777777" w:rsidR="003055E6" w:rsidRDefault="003055E6" w:rsidP="0017446F">
      <w:pPr>
        <w:pStyle w:val="ListParagraph"/>
        <w:ind w:left="1080"/>
      </w:pPr>
    </w:p>
    <w:p w14:paraId="2D191109" w14:textId="77777777" w:rsidR="003055E6" w:rsidRDefault="003055E6" w:rsidP="0017446F">
      <w:pPr>
        <w:pStyle w:val="ListParagraph"/>
        <w:ind w:left="1080"/>
      </w:pPr>
    </w:p>
    <w:p w14:paraId="231E0E52" w14:textId="77777777" w:rsidR="003055E6" w:rsidRDefault="003055E6" w:rsidP="0017446F">
      <w:pPr>
        <w:pStyle w:val="ListParagraph"/>
        <w:ind w:left="1080"/>
      </w:pPr>
    </w:p>
    <w:p w14:paraId="619E9BB9" w14:textId="77777777" w:rsidR="003055E6" w:rsidRDefault="003055E6" w:rsidP="0017446F">
      <w:pPr>
        <w:pStyle w:val="ListParagraph"/>
        <w:ind w:left="1080"/>
      </w:pPr>
    </w:p>
    <w:p w14:paraId="61F95381" w14:textId="77777777" w:rsidR="003055E6" w:rsidRDefault="003055E6" w:rsidP="0017446F">
      <w:pPr>
        <w:pStyle w:val="ListParagraph"/>
        <w:ind w:left="1080"/>
      </w:pPr>
    </w:p>
    <w:p w14:paraId="2A05FCEF" w14:textId="77777777" w:rsidR="003055E6" w:rsidRDefault="003055E6" w:rsidP="0017446F">
      <w:pPr>
        <w:pStyle w:val="ListParagraph"/>
        <w:ind w:left="1080"/>
      </w:pPr>
    </w:p>
    <w:p w14:paraId="1F792FD7" w14:textId="77777777" w:rsidR="003055E6" w:rsidRDefault="003055E6" w:rsidP="0017446F">
      <w:pPr>
        <w:pStyle w:val="ListParagraph"/>
        <w:ind w:left="1080"/>
      </w:pPr>
    </w:p>
    <w:p w14:paraId="695110B2" w14:textId="77777777" w:rsidR="003055E6" w:rsidRDefault="003055E6" w:rsidP="0017446F">
      <w:pPr>
        <w:pStyle w:val="ListParagraph"/>
        <w:ind w:left="1080"/>
      </w:pPr>
    </w:p>
    <w:p w14:paraId="54FCC92C" w14:textId="77777777" w:rsidR="003055E6" w:rsidRDefault="003055E6" w:rsidP="0017446F">
      <w:pPr>
        <w:pStyle w:val="ListParagraph"/>
        <w:ind w:left="1080"/>
      </w:pPr>
    </w:p>
    <w:p w14:paraId="29CC8131" w14:textId="77777777" w:rsidR="003055E6" w:rsidRDefault="003055E6" w:rsidP="0017446F">
      <w:pPr>
        <w:pStyle w:val="ListParagraph"/>
        <w:ind w:left="1080"/>
      </w:pPr>
    </w:p>
    <w:p w14:paraId="79ACC7FC" w14:textId="77777777" w:rsidR="003055E6" w:rsidRDefault="003055E6" w:rsidP="0017446F">
      <w:pPr>
        <w:pStyle w:val="ListParagraph"/>
        <w:ind w:left="1080"/>
      </w:pPr>
    </w:p>
    <w:p w14:paraId="15FE9EF3" w14:textId="77777777" w:rsidR="003055E6" w:rsidRDefault="003055E6" w:rsidP="0017446F">
      <w:pPr>
        <w:pStyle w:val="ListParagraph"/>
        <w:ind w:left="1080"/>
      </w:pPr>
    </w:p>
    <w:p w14:paraId="69B0FFD5" w14:textId="77777777" w:rsidR="003055E6" w:rsidRDefault="003055E6" w:rsidP="0017446F">
      <w:pPr>
        <w:pStyle w:val="ListParagraph"/>
        <w:ind w:left="1080"/>
      </w:pPr>
    </w:p>
    <w:p w14:paraId="0C305739" w14:textId="77777777" w:rsidR="003055E6" w:rsidRDefault="003055E6" w:rsidP="0017446F">
      <w:pPr>
        <w:pStyle w:val="ListParagraph"/>
        <w:ind w:left="1080"/>
      </w:pPr>
    </w:p>
    <w:p w14:paraId="718603DC" w14:textId="78A7A6EA" w:rsidR="001A73C3" w:rsidRDefault="001A73C3" w:rsidP="0017446F">
      <w:pPr>
        <w:pStyle w:val="ListParagraph"/>
        <w:numPr>
          <w:ilvl w:val="0"/>
          <w:numId w:val="4"/>
        </w:numPr>
      </w:pPr>
      <w:r>
        <w:lastRenderedPageBreak/>
        <w:t>Let’s assume that after we conduct our study, we find that</w:t>
      </w:r>
      <w:r w:rsidR="003C041B">
        <w:t xml:space="preserve"> </w:t>
      </w:r>
      <w:r w:rsidR="00E06AD1">
        <w:t>drug use behaviors</w:t>
      </w:r>
      <w:r w:rsidR="00B85B00">
        <w:t>’</w:t>
      </w:r>
      <w:r w:rsidR="00E06AD1">
        <w:t xml:space="preserve"> spread </w:t>
      </w:r>
      <w:r w:rsidR="00CD4121">
        <w:t xml:space="preserve">is affected by the spread of </w:t>
      </w:r>
      <w:r w:rsidR="00A0122F">
        <w:t xml:space="preserve">the </w:t>
      </w:r>
      <w:r w:rsidR="00CD4121">
        <w:t xml:space="preserve">infectious disease </w:t>
      </w:r>
      <w:proofErr w:type="gramStart"/>
      <w:r w:rsidR="00A0122F">
        <w:t>and also</w:t>
      </w:r>
      <w:proofErr w:type="gramEnd"/>
      <w:r w:rsidR="00A0122F">
        <w:t xml:space="preserve"> by </w:t>
      </w:r>
      <w:r w:rsidR="001C3E56">
        <w:t xml:space="preserve">home ownership </w:t>
      </w:r>
      <w:r w:rsidR="00A0122F">
        <w:t>(the proportion of persons who</w:t>
      </w:r>
      <w:r w:rsidR="00FA6281">
        <w:t xml:space="preserve"> own their own house versus rent in the neighborhood)</w:t>
      </w:r>
      <w:r w:rsidR="00A0122F">
        <w:t>.</w:t>
      </w:r>
      <w:r w:rsidR="00FA6281">
        <w:t xml:space="preserve"> </w:t>
      </w:r>
      <w:r w:rsidR="00D77A73">
        <w:t>Discuss the results in terms of multifinality, equifinality, necessary and sufficient causes</w:t>
      </w:r>
      <w:r w:rsidR="00B85B00">
        <w:t>.</w:t>
      </w:r>
      <w:r w:rsidR="00B6602F">
        <w:t xml:space="preserve"> </w:t>
      </w:r>
    </w:p>
    <w:p w14:paraId="4C8544E9" w14:textId="77777777" w:rsidR="0082780D" w:rsidRDefault="0082780D" w:rsidP="0082780D">
      <w:pPr>
        <w:pStyle w:val="ListParagraph"/>
      </w:pPr>
    </w:p>
    <w:p w14:paraId="42D00186" w14:textId="77777777" w:rsidR="003055E6" w:rsidRDefault="003055E6" w:rsidP="0082780D">
      <w:pPr>
        <w:pStyle w:val="ListParagraph"/>
      </w:pPr>
    </w:p>
    <w:p w14:paraId="1F02F8C8" w14:textId="77777777" w:rsidR="003055E6" w:rsidRDefault="003055E6" w:rsidP="0082780D">
      <w:pPr>
        <w:pStyle w:val="ListParagraph"/>
      </w:pPr>
    </w:p>
    <w:p w14:paraId="664FA6EE" w14:textId="77777777" w:rsidR="003055E6" w:rsidRDefault="003055E6" w:rsidP="0082780D">
      <w:pPr>
        <w:pStyle w:val="ListParagraph"/>
      </w:pPr>
    </w:p>
    <w:p w14:paraId="2CB516A5" w14:textId="77777777" w:rsidR="003055E6" w:rsidRDefault="003055E6" w:rsidP="0082780D">
      <w:pPr>
        <w:pStyle w:val="ListParagraph"/>
      </w:pPr>
    </w:p>
    <w:p w14:paraId="3E57D6A0" w14:textId="77777777" w:rsidR="003055E6" w:rsidRDefault="003055E6" w:rsidP="0082780D">
      <w:pPr>
        <w:pStyle w:val="ListParagraph"/>
      </w:pPr>
    </w:p>
    <w:p w14:paraId="64C2836F" w14:textId="77777777" w:rsidR="003055E6" w:rsidRDefault="003055E6" w:rsidP="0082780D">
      <w:pPr>
        <w:pStyle w:val="ListParagraph"/>
      </w:pPr>
    </w:p>
    <w:p w14:paraId="4E808BCD" w14:textId="77777777" w:rsidR="003055E6" w:rsidRDefault="003055E6" w:rsidP="0082780D">
      <w:pPr>
        <w:pStyle w:val="ListParagraph"/>
      </w:pPr>
    </w:p>
    <w:p w14:paraId="3241636C" w14:textId="77777777" w:rsidR="003055E6" w:rsidRDefault="003055E6" w:rsidP="0082780D">
      <w:pPr>
        <w:pStyle w:val="ListParagraph"/>
      </w:pPr>
    </w:p>
    <w:p w14:paraId="5B2EF848" w14:textId="77777777" w:rsidR="003055E6" w:rsidRDefault="003055E6" w:rsidP="0082780D">
      <w:pPr>
        <w:pStyle w:val="ListParagraph"/>
      </w:pPr>
    </w:p>
    <w:p w14:paraId="441BDE7A" w14:textId="77777777" w:rsidR="003055E6" w:rsidRDefault="003055E6" w:rsidP="0082780D">
      <w:pPr>
        <w:pStyle w:val="ListParagraph"/>
      </w:pPr>
    </w:p>
    <w:p w14:paraId="454C4683" w14:textId="77777777" w:rsidR="003055E6" w:rsidRDefault="003055E6" w:rsidP="0082780D">
      <w:pPr>
        <w:pStyle w:val="ListParagraph"/>
      </w:pPr>
    </w:p>
    <w:p w14:paraId="3AC8721E" w14:textId="77777777" w:rsidR="003055E6" w:rsidRDefault="003055E6" w:rsidP="0082780D">
      <w:pPr>
        <w:pStyle w:val="ListParagraph"/>
      </w:pPr>
    </w:p>
    <w:p w14:paraId="3287FB90" w14:textId="77777777" w:rsidR="003055E6" w:rsidRDefault="003055E6" w:rsidP="0082780D">
      <w:pPr>
        <w:pStyle w:val="ListParagraph"/>
      </w:pPr>
    </w:p>
    <w:p w14:paraId="64C2E377" w14:textId="77777777" w:rsidR="003055E6" w:rsidRDefault="003055E6" w:rsidP="0082780D">
      <w:pPr>
        <w:pStyle w:val="ListParagraph"/>
      </w:pPr>
    </w:p>
    <w:p w14:paraId="60F7F91F" w14:textId="241CF9CC" w:rsidR="003055E6" w:rsidRDefault="003055E6">
      <w:r>
        <w:br w:type="page"/>
      </w:r>
    </w:p>
    <w:p w14:paraId="06A7D14B" w14:textId="77777777" w:rsidR="003055E6" w:rsidRDefault="003055E6" w:rsidP="0082780D">
      <w:pPr>
        <w:pStyle w:val="ListParagraph"/>
      </w:pPr>
    </w:p>
    <w:p w14:paraId="72EB6B6E" w14:textId="012310CB" w:rsidR="0082780D" w:rsidRDefault="0082780D" w:rsidP="0017446F">
      <w:pPr>
        <w:pStyle w:val="ListParagraph"/>
        <w:numPr>
          <w:ilvl w:val="0"/>
          <w:numId w:val="3"/>
        </w:numPr>
      </w:pPr>
      <w:r>
        <w:t xml:space="preserve">We have talked about the role </w:t>
      </w:r>
      <w:r w:rsidR="004A177E">
        <w:t xml:space="preserve">that science has played in maintaining social constructions. </w:t>
      </w:r>
      <w:r w:rsidR="00544230">
        <w:t xml:space="preserve">One of the most enduring, and misunderstood, concepts has been </w:t>
      </w:r>
      <w:r w:rsidR="00916856">
        <w:t>‘</w:t>
      </w:r>
      <w:r w:rsidR="00544230">
        <w:t>race.</w:t>
      </w:r>
      <w:r w:rsidR="00916856">
        <w:t>’</w:t>
      </w:r>
      <w:r w:rsidR="00544230">
        <w:t xml:space="preserve"> </w:t>
      </w:r>
      <w:r w:rsidR="002A5A0B">
        <w:t xml:space="preserve">Many social science/public health endeavors seek to reduce </w:t>
      </w:r>
      <w:r w:rsidR="006A73CB">
        <w:t xml:space="preserve">racial </w:t>
      </w:r>
      <w:r w:rsidR="002A5A0B">
        <w:t>inequities without</w:t>
      </w:r>
      <w:r w:rsidR="00422F32">
        <w:t xml:space="preserve"> being critical about the measurement of ‘race’</w:t>
      </w:r>
      <w:r w:rsidR="00360B3A">
        <w:t xml:space="preserve"> much less how it is used in extant research.</w:t>
      </w:r>
      <w:r w:rsidR="00422F32">
        <w:t xml:space="preserve"> Obviously, how</w:t>
      </w:r>
      <w:r w:rsidR="000C09B8">
        <w:t xml:space="preserve"> our interventions respond to different racial categories depends on the scientific evidence of disparity. </w:t>
      </w:r>
      <w:r w:rsidR="007C5C4D">
        <w:t xml:space="preserve">Clearly, our measure of race implies that race is 1) discrete; 2) measurable; 3) scientifically meaningful; and 5) unchangeable. </w:t>
      </w:r>
      <w:r w:rsidR="00063E79">
        <w:t>It is not coincidence that elements of our racial hierarchy</w:t>
      </w:r>
      <w:r w:rsidR="00D347D7">
        <w:t xml:space="preserve"> include similar characteristics. Our racial hierarchy similarly views race as discrete, rank</w:t>
      </w:r>
      <w:r w:rsidR="00063DAA">
        <w:t xml:space="preserve"> order</w:t>
      </w:r>
      <w:r w:rsidR="003677DE">
        <w:t>ed</w:t>
      </w:r>
      <w:r w:rsidR="00063DAA">
        <w:t xml:space="preserve"> (i.e., one group is “superior”), immutable</w:t>
      </w:r>
      <w:r w:rsidR="00846722">
        <w:t xml:space="preserve">, and linked to biology. </w:t>
      </w:r>
      <w:proofErr w:type="gramStart"/>
      <w:r w:rsidR="00C81240">
        <w:t>In light of</w:t>
      </w:r>
      <w:proofErr w:type="gramEnd"/>
      <w:r w:rsidR="00C81240">
        <w:t xml:space="preserve"> our measure of race, discuss</w:t>
      </w:r>
      <w:r w:rsidR="00CB0D54">
        <w:t xml:space="preserve"> </w:t>
      </w:r>
      <w:r w:rsidR="00C2336B">
        <w:t>how science has socially constructed racial identity in the United States</w:t>
      </w:r>
      <w:r w:rsidR="00324146">
        <w:t xml:space="preserve"> through the measurement and classification of racial categorie</w:t>
      </w:r>
      <w:r w:rsidR="004F3665">
        <w:t>s.</w:t>
      </w:r>
      <w:r w:rsidR="00594CBA">
        <w:t xml:space="preserve"> Identify 1-2 policy implications that directly resulted.</w:t>
      </w:r>
    </w:p>
    <w:p w14:paraId="125B670D" w14:textId="6F14D6FA" w:rsidR="003055E6" w:rsidRDefault="003055E6">
      <w:r>
        <w:br w:type="page"/>
      </w:r>
    </w:p>
    <w:p w14:paraId="2F01F14B" w14:textId="5F8466B6" w:rsidR="006519D4" w:rsidRPr="006519D4" w:rsidRDefault="0017446F" w:rsidP="0017446F">
      <w:pPr>
        <w:pStyle w:val="ListParagraph"/>
        <w:numPr>
          <w:ilvl w:val="0"/>
          <w:numId w:val="3"/>
        </w:numPr>
      </w:pPr>
      <w:r>
        <w:lastRenderedPageBreak/>
        <w:t>A</w:t>
      </w:r>
      <w:r w:rsidR="002A3F37" w:rsidRPr="002A3F37">
        <w:t xml:space="preserve"> </w:t>
      </w:r>
      <w:r w:rsidR="002A3F37">
        <w:t>researcher</w:t>
      </w:r>
      <w:r w:rsidR="002A3F37" w:rsidRPr="002A3F37">
        <w:t xml:space="preserve"> </w:t>
      </w:r>
      <w:r w:rsidR="002A3F37">
        <w:t>is interested in</w:t>
      </w:r>
      <w:r w:rsidR="00575428">
        <w:t xml:space="preserve"> developing a school-based intervention </w:t>
      </w:r>
      <w:r w:rsidR="006519D4">
        <w:t>to prevent youth from future criminal justice system involvement</w:t>
      </w:r>
      <w:r w:rsidR="002A3F37" w:rsidRPr="002A3F37">
        <w:t xml:space="preserve">. </w:t>
      </w:r>
      <w:r w:rsidR="006519D4">
        <w:t>The research</w:t>
      </w:r>
      <w:r w:rsidR="000265DC">
        <w:t>er</w:t>
      </w:r>
      <w:r w:rsidR="006519D4">
        <w:t xml:space="preserve"> suspects that </w:t>
      </w:r>
      <w:r w:rsidR="00E639E8">
        <w:t xml:space="preserve">youth in middle school are more likely to engage in delinquent acts and hence targets this group. He </w:t>
      </w:r>
      <w:r w:rsidR="006519D4" w:rsidRPr="006519D4">
        <w:t xml:space="preserve">collects data on the families of 20 delinquent and 20 nondelinquent children from the records of a </w:t>
      </w:r>
      <w:r w:rsidR="00DB0AAF">
        <w:t xml:space="preserve">local middle </w:t>
      </w:r>
      <w:r w:rsidR="006519D4" w:rsidRPr="006519D4">
        <w:t>school and checks how many children from each group come from broken homes.</w:t>
      </w:r>
    </w:p>
    <w:p w14:paraId="3DB7AC22" w14:textId="77777777" w:rsidR="002A3F37" w:rsidRDefault="002A3F37" w:rsidP="002A3F37">
      <w:pPr>
        <w:numPr>
          <w:ilvl w:val="1"/>
          <w:numId w:val="2"/>
        </w:numPr>
      </w:pPr>
      <w:r w:rsidRPr="002A3F37">
        <w:t>What are the null and research hypotheses? Explain why the research hypothesis is directional or nondirectional.</w:t>
      </w:r>
    </w:p>
    <w:p w14:paraId="0D0AEE38" w14:textId="77777777" w:rsidR="002A3F37" w:rsidRDefault="002A3F37" w:rsidP="00B151A7"/>
    <w:p w14:paraId="17321871" w14:textId="77777777" w:rsidR="002A3F37" w:rsidRPr="002A3F37" w:rsidRDefault="002A3F37" w:rsidP="00B151A7"/>
    <w:p w14:paraId="4A537A67" w14:textId="0256DA5D" w:rsidR="002A3F37" w:rsidRDefault="002A3F37" w:rsidP="002A3F37">
      <w:pPr>
        <w:numPr>
          <w:ilvl w:val="1"/>
          <w:numId w:val="2"/>
        </w:numPr>
      </w:pPr>
      <w:r w:rsidRPr="002A3F37">
        <w:t xml:space="preserve">How might the </w:t>
      </w:r>
      <w:r w:rsidR="00843072">
        <w:t>researcher</w:t>
      </w:r>
      <w:r w:rsidRPr="002A3F37">
        <w:t xml:space="preserve"> make a Type I error?</w:t>
      </w:r>
    </w:p>
    <w:p w14:paraId="78E8F194" w14:textId="77777777" w:rsidR="002A3F37" w:rsidRDefault="002A3F37" w:rsidP="00B151A7"/>
    <w:p w14:paraId="5CBE210D" w14:textId="77777777" w:rsidR="002A3F37" w:rsidRPr="002A3F37" w:rsidRDefault="002A3F37" w:rsidP="00B151A7"/>
    <w:p w14:paraId="7F8BAA64" w14:textId="4AE1F7D5" w:rsidR="002A3F37" w:rsidRDefault="002A3F37" w:rsidP="002A3F37">
      <w:pPr>
        <w:numPr>
          <w:ilvl w:val="1"/>
          <w:numId w:val="2"/>
        </w:numPr>
      </w:pPr>
      <w:r w:rsidRPr="002A3F37">
        <w:t xml:space="preserve">How might the </w:t>
      </w:r>
      <w:r w:rsidR="00843072">
        <w:t>researcher</w:t>
      </w:r>
      <w:r w:rsidRPr="002A3F37">
        <w:t xml:space="preserve"> make a Type II error?</w:t>
      </w:r>
    </w:p>
    <w:p w14:paraId="7421206F" w14:textId="77777777" w:rsidR="002A3F37" w:rsidRDefault="002A3F37" w:rsidP="00B151A7"/>
    <w:p w14:paraId="5B8ABE45" w14:textId="77777777" w:rsidR="002A3F37" w:rsidRDefault="002A3F37" w:rsidP="00B151A7"/>
    <w:p w14:paraId="74F8858F" w14:textId="77777777" w:rsidR="002A3F37" w:rsidRPr="002A3F37" w:rsidRDefault="002A3F37" w:rsidP="00B151A7"/>
    <w:p w14:paraId="2C14AA87" w14:textId="3D9E6B50" w:rsidR="002A3F37" w:rsidRDefault="002A3F37" w:rsidP="00197654">
      <w:pPr>
        <w:pStyle w:val="ListParagraph"/>
        <w:numPr>
          <w:ilvl w:val="2"/>
          <w:numId w:val="2"/>
        </w:numPr>
      </w:pPr>
      <w:r w:rsidRPr="002A3F37">
        <w:t xml:space="preserve">The </w:t>
      </w:r>
      <w:r w:rsidR="00843072">
        <w:t>agency funding the study</w:t>
      </w:r>
      <w:r w:rsidRPr="002A3F37">
        <w:t xml:space="preserve"> accepts that targeting this specific age group in the </w:t>
      </w:r>
      <w:r w:rsidR="00843072">
        <w:t>intervention</w:t>
      </w:r>
      <w:r w:rsidRPr="002A3F37">
        <w:t xml:space="preserve"> will not cost any extra money. </w:t>
      </w:r>
      <w:r w:rsidR="00843072">
        <w:t>They feel that the study is worth pursuing</w:t>
      </w:r>
      <w:r w:rsidRPr="002A3F37">
        <w:t xml:space="preserve"> even if the study doesn’t find enormous differences </w:t>
      </w:r>
      <w:r w:rsidR="00D36087">
        <w:t>in</w:t>
      </w:r>
      <w:r w:rsidRPr="002A3F37">
        <w:t xml:space="preserve"> the </w:t>
      </w:r>
      <w:r w:rsidR="0054467E">
        <w:t>delinquency levels</w:t>
      </w:r>
      <w:r w:rsidRPr="002A3F37">
        <w:t xml:space="preserve"> </w:t>
      </w:r>
      <w:r w:rsidR="0054467E">
        <w:t xml:space="preserve">between youth from broken homes and other youth </w:t>
      </w:r>
      <w:r w:rsidRPr="002A3F37">
        <w:t xml:space="preserve">of </w:t>
      </w:r>
      <w:r w:rsidR="0054467E">
        <w:t>the same</w:t>
      </w:r>
      <w:r w:rsidRPr="002A3F37">
        <w:t xml:space="preserve"> age. </w:t>
      </w:r>
      <w:r w:rsidR="00D36087">
        <w:t>W</w:t>
      </w:r>
      <w:r w:rsidR="00916856">
        <w:t xml:space="preserve">hat are the policy implications of failing to reject the null hypothesis for this study? </w:t>
      </w:r>
      <w:r w:rsidRPr="002A3F37">
        <w:t>How should these considerations affect the researchers’ decision on what level of significance to set?</w:t>
      </w:r>
      <w:r w:rsidR="00B85B00">
        <w:t xml:space="preserve"> </w:t>
      </w:r>
      <w:r w:rsidR="00B85B00">
        <w:rPr>
          <w:b/>
          <w:bCs/>
        </w:rPr>
        <w:t xml:space="preserve">Comment on this </w:t>
      </w:r>
      <w:proofErr w:type="gramStart"/>
      <w:r w:rsidR="00B85B00">
        <w:rPr>
          <w:b/>
          <w:bCs/>
        </w:rPr>
        <w:t>in light of</w:t>
      </w:r>
      <w:proofErr w:type="gramEnd"/>
      <w:r w:rsidR="00B85B00">
        <w:rPr>
          <w:b/>
          <w:bCs/>
        </w:rPr>
        <w:t xml:space="preserve"> the way the study is framed.</w:t>
      </w:r>
    </w:p>
    <w:p w14:paraId="19A2B921" w14:textId="3A2DFDF8" w:rsidR="003055E6" w:rsidRDefault="003055E6">
      <w:r>
        <w:br w:type="page"/>
      </w:r>
    </w:p>
    <w:p w14:paraId="76686960" w14:textId="576E3B5B" w:rsidR="007662C2" w:rsidRPr="003055E6" w:rsidRDefault="00E7279A" w:rsidP="0017446F">
      <w:pPr>
        <w:pStyle w:val="ListParagraph"/>
        <w:numPr>
          <w:ilvl w:val="0"/>
          <w:numId w:val="3"/>
        </w:numPr>
      </w:pPr>
      <w:r>
        <w:lastRenderedPageBreak/>
        <w:t>The case of Sally Clark</w:t>
      </w:r>
      <w:r w:rsidR="00810389">
        <w:t>, which was litigated in 1999,</w:t>
      </w:r>
      <w:r>
        <w:t xml:space="preserve"> has been called a ‘spectacular miscarriage of justice.’ </w:t>
      </w:r>
      <w:r w:rsidR="0076251A">
        <w:t>Sally Clark was convicted of murder after both her infant sons die</w:t>
      </w:r>
      <w:r w:rsidR="006856DB">
        <w:t>d. There was testimony in the case regarding the likelihood that two babies in the same household would die from SIDS, sudden infant death syndrome.</w:t>
      </w:r>
      <w:r w:rsidR="00BE5559">
        <w:t xml:space="preserve"> A physician testified</w:t>
      </w:r>
      <w:r w:rsidR="006B507C">
        <w:t xml:space="preserve"> that the </w:t>
      </w:r>
      <w:r w:rsidR="00085574">
        <w:t>odds</w:t>
      </w:r>
      <w:r w:rsidR="006B507C">
        <w:t xml:space="preserve"> that two infants would die from SIDS</w:t>
      </w:r>
      <w:r w:rsidR="00085574">
        <w:t xml:space="preserve"> was about 1 in 73 million, meaning that it is extremely likely that the babies did NOT die from SIDS. This figure was derived from multiplying </w:t>
      </w:r>
      <w:r w:rsidR="00ED3616">
        <w:t>1/8543 times 1/8543 which is essentially zero.</w:t>
      </w:r>
      <w:r w:rsidR="001C2B4E">
        <w:t xml:space="preserve"> </w:t>
      </w:r>
      <w:r w:rsidR="006E465A">
        <w:t xml:space="preserve">The physician used the figure in the table below for ‘no risk factor present.’ </w:t>
      </w:r>
      <w:r w:rsidR="001C2B4E">
        <w:t>The physician like</w:t>
      </w:r>
      <w:r w:rsidR="00DA09E7">
        <w:t>ne</w:t>
      </w:r>
      <w:r w:rsidR="001C2B4E">
        <w:t xml:space="preserve">d the odds to those of gambling, specifically </w:t>
      </w:r>
      <w:r w:rsidR="0061475C">
        <w:t>that the odds of two infants dying from SIDS is like</w:t>
      </w:r>
      <w:r w:rsidR="001C2B4E">
        <w:t>:</w:t>
      </w:r>
      <w:r w:rsidR="001C2B4E" w:rsidRPr="0017446F">
        <w:rPr>
          <w:rFonts w:eastAsiaTheme="minorEastAsia" w:hAnsi="Calibri"/>
          <w:i/>
          <w:iCs/>
          <w:color w:val="000000" w:themeColor="text1"/>
          <w:kern w:val="24"/>
          <w:sz w:val="44"/>
          <w:szCs w:val="44"/>
        </w:rPr>
        <w:t xml:space="preserve"> </w:t>
      </w:r>
      <w:r w:rsidR="001C2B4E" w:rsidRPr="0017446F">
        <w:rPr>
          <w:i/>
          <w:iCs/>
        </w:rPr>
        <w:t xml:space="preserve">“… the chance of backing that long odds outsider at the Grand National, you know; let’s say it’s a 80 to 1 chance, you back the winner last year, then the next year there’s another horse at 80 to 1 and it is still 80 to 1 and you back it again </w:t>
      </w:r>
      <w:r w:rsidR="00B85B00">
        <w:rPr>
          <w:i/>
          <w:iCs/>
        </w:rPr>
        <w:t>…</w:t>
      </w:r>
      <w:r w:rsidR="001C2B4E" w:rsidRPr="0017446F">
        <w:rPr>
          <w:i/>
          <w:iCs/>
        </w:rPr>
        <w:t>.</w:t>
      </w:r>
      <w:r w:rsidR="001C2B4E" w:rsidRPr="0017446F">
        <w:rPr>
          <w:i/>
          <w:iCs/>
        </w:rPr>
        <w:t>”</w:t>
      </w:r>
      <w:r w:rsidR="00174149" w:rsidRPr="0017446F">
        <w:rPr>
          <w:i/>
          <w:iCs/>
        </w:rPr>
        <w:t xml:space="preserve"> </w:t>
      </w:r>
    </w:p>
    <w:p w14:paraId="5970B806" w14:textId="77777777" w:rsidR="003055E6" w:rsidRPr="007662C2" w:rsidRDefault="003055E6" w:rsidP="003055E6">
      <w:pPr>
        <w:pStyle w:val="ListParagraph"/>
      </w:pPr>
    </w:p>
    <w:p w14:paraId="5B10153B" w14:textId="04421691" w:rsidR="002A3F37" w:rsidRDefault="00174149" w:rsidP="007662C2">
      <w:pPr>
        <w:pStyle w:val="ListParagraph"/>
        <w:numPr>
          <w:ilvl w:val="1"/>
          <w:numId w:val="3"/>
        </w:numPr>
      </w:pPr>
      <w:r>
        <w:t xml:space="preserve">Comment on </w:t>
      </w:r>
      <w:r w:rsidR="0075409A">
        <w:t xml:space="preserve">1) </w:t>
      </w:r>
      <w:r>
        <w:t xml:space="preserve">the </w:t>
      </w:r>
      <w:r w:rsidR="00287DDD">
        <w:t xml:space="preserve">interpretation </w:t>
      </w:r>
      <w:r w:rsidR="0075409A">
        <w:t xml:space="preserve">of the odds </w:t>
      </w:r>
      <w:r w:rsidR="00287DDD">
        <w:t>given by the physician</w:t>
      </w:r>
      <w:r w:rsidR="00EC0F56">
        <w:t xml:space="preserve"> in this case.</w:t>
      </w:r>
    </w:p>
    <w:p w14:paraId="012B410D" w14:textId="77777777" w:rsidR="00B151A7" w:rsidRDefault="00B151A7" w:rsidP="00B151A7"/>
    <w:p w14:paraId="59682980" w14:textId="77777777" w:rsidR="00B151A7" w:rsidRDefault="00B151A7" w:rsidP="00B151A7"/>
    <w:p w14:paraId="66C6369A" w14:textId="77777777" w:rsidR="00B151A7" w:rsidRDefault="00B151A7" w:rsidP="00B151A7"/>
    <w:p w14:paraId="233132A7" w14:textId="77777777" w:rsidR="00B151A7" w:rsidRDefault="00B151A7" w:rsidP="00B151A7"/>
    <w:p w14:paraId="5490DE3B" w14:textId="77777777" w:rsidR="00B151A7" w:rsidRDefault="00B151A7" w:rsidP="00B151A7"/>
    <w:p w14:paraId="27A355EE" w14:textId="77777777" w:rsidR="00B151A7" w:rsidRPr="00174149" w:rsidRDefault="00B151A7" w:rsidP="00B151A7"/>
    <w:tbl>
      <w:tblPr>
        <w:tblW w:w="75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395"/>
        <w:gridCol w:w="2165"/>
      </w:tblGrid>
      <w:tr w:rsidR="006E465A" w:rsidRPr="006E465A" w14:paraId="2E359653" w14:textId="77777777" w:rsidTr="006E465A">
        <w:trPr>
          <w:trHeight w:val="20"/>
          <w:jc w:val="center"/>
        </w:trPr>
        <w:tc>
          <w:tcPr>
            <w:tcW w:w="7560" w:type="dxa"/>
            <w:gridSpan w:val="2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  <w:vAlign w:val="center"/>
            <w:hideMark/>
          </w:tcPr>
          <w:p w14:paraId="4FC40661" w14:textId="1F4246F2" w:rsidR="006E465A" w:rsidRPr="006E465A" w:rsidRDefault="006E465A" w:rsidP="006E465A">
            <w:pPr>
              <w:spacing w:after="0" w:line="240" w:lineRule="auto"/>
            </w:pPr>
            <w:r w:rsidRPr="006E465A">
              <w:t>Rate for groups with different factors</w:t>
            </w:r>
          </w:p>
        </w:tc>
      </w:tr>
      <w:tr w:rsidR="006E465A" w:rsidRPr="006E465A" w14:paraId="1027E2DD" w14:textId="77777777" w:rsidTr="006E465A">
        <w:trPr>
          <w:trHeight w:val="20"/>
          <w:jc w:val="center"/>
        </w:trPr>
        <w:tc>
          <w:tcPr>
            <w:tcW w:w="5395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  <w:vAlign w:val="center"/>
          </w:tcPr>
          <w:p w14:paraId="115C0DB0" w14:textId="7D206EDA" w:rsidR="006E465A" w:rsidRPr="006E465A" w:rsidRDefault="006E465A" w:rsidP="006E465A">
            <w:pPr>
              <w:spacing w:after="0" w:line="240" w:lineRule="auto"/>
              <w:ind w:left="-126"/>
              <w:rPr>
                <w:b/>
                <w:bCs/>
              </w:rPr>
            </w:pPr>
            <w:r w:rsidRPr="006E465A">
              <w:rPr>
                <w:b/>
                <w:bCs/>
              </w:rPr>
              <w:t>Household Factor</w:t>
            </w:r>
          </w:p>
        </w:tc>
        <w:tc>
          <w:tcPr>
            <w:tcW w:w="2165" w:type="dxa"/>
            <w:shd w:val="clear" w:color="auto" w:fill="auto"/>
            <w:tcMar>
              <w:top w:w="215" w:type="dxa"/>
              <w:left w:w="215" w:type="dxa"/>
              <w:bottom w:w="215" w:type="dxa"/>
              <w:right w:w="215" w:type="dxa"/>
            </w:tcMar>
            <w:vAlign w:val="bottom"/>
          </w:tcPr>
          <w:p w14:paraId="1385D422" w14:textId="2D88F681" w:rsidR="006E465A" w:rsidRPr="006E465A" w:rsidRDefault="006E465A" w:rsidP="006E465A">
            <w:pPr>
              <w:spacing w:after="0" w:line="240" w:lineRule="auto"/>
              <w:rPr>
                <w:b/>
                <w:bCs/>
              </w:rPr>
            </w:pPr>
            <w:r w:rsidRPr="006E465A">
              <w:rPr>
                <w:b/>
                <w:bCs/>
              </w:rPr>
              <w:t>SIDS incidence in this group*</w:t>
            </w:r>
          </w:p>
        </w:tc>
      </w:tr>
      <w:tr w:rsidR="006E465A" w:rsidRPr="006E465A" w14:paraId="2ADB6F9A" w14:textId="77777777" w:rsidTr="00EC5453">
        <w:trPr>
          <w:trHeight w:val="353"/>
          <w:jc w:val="center"/>
        </w:trPr>
        <w:tc>
          <w:tcPr>
            <w:tcW w:w="5395" w:type="dxa"/>
            <w:shd w:val="clear" w:color="auto" w:fill="D9D9D9"/>
            <w:tcMar>
              <w:top w:w="60" w:type="dxa"/>
              <w:left w:w="134" w:type="dxa"/>
              <w:bottom w:w="143" w:type="dxa"/>
              <w:right w:w="134" w:type="dxa"/>
            </w:tcMar>
            <w:vAlign w:val="center"/>
            <w:hideMark/>
          </w:tcPr>
          <w:p w14:paraId="43E9B001" w14:textId="551C71AE" w:rsidR="00E7279A" w:rsidRPr="006E465A" w:rsidRDefault="00BF6D03" w:rsidP="006E465A">
            <w:pPr>
              <w:spacing w:after="0" w:line="240" w:lineRule="auto"/>
            </w:pPr>
            <w:r>
              <w:t xml:space="preserve">Risk: </w:t>
            </w:r>
            <w:r w:rsidR="00E7279A" w:rsidRPr="006E465A">
              <w:t>Anybody smokes in the household</w:t>
            </w:r>
          </w:p>
          <w:p w14:paraId="7711FFB6" w14:textId="1BD34F58" w:rsidR="00E7279A" w:rsidRPr="006E465A" w:rsidRDefault="00BF6D03" w:rsidP="006E465A">
            <w:pPr>
              <w:spacing w:after="0" w:line="240" w:lineRule="auto"/>
            </w:pPr>
            <w:r>
              <w:t xml:space="preserve">Protective: </w:t>
            </w:r>
            <w:r w:rsidR="00E7279A" w:rsidRPr="006E465A">
              <w:t>Nobody smokes in the household</w:t>
            </w:r>
          </w:p>
        </w:tc>
        <w:tc>
          <w:tcPr>
            <w:tcW w:w="2165" w:type="dxa"/>
            <w:shd w:val="clear" w:color="auto" w:fill="D9D9D9"/>
            <w:tcMar>
              <w:top w:w="60" w:type="dxa"/>
              <w:left w:w="134" w:type="dxa"/>
              <w:bottom w:w="143" w:type="dxa"/>
              <w:right w:w="134" w:type="dxa"/>
            </w:tcMar>
            <w:vAlign w:val="center"/>
            <w:hideMark/>
          </w:tcPr>
          <w:p w14:paraId="088BDD42" w14:textId="77777777" w:rsidR="00E7279A" w:rsidRPr="006E465A" w:rsidRDefault="00E7279A" w:rsidP="006E465A">
            <w:pPr>
              <w:spacing w:after="0" w:line="240" w:lineRule="auto"/>
            </w:pPr>
            <w:r w:rsidRPr="006E465A">
              <w:t>in 737</w:t>
            </w:r>
          </w:p>
          <w:p w14:paraId="78B3F56E" w14:textId="77777777" w:rsidR="00E7279A" w:rsidRPr="006E465A" w:rsidRDefault="00E7279A" w:rsidP="006E465A">
            <w:pPr>
              <w:spacing w:after="0" w:line="240" w:lineRule="auto"/>
            </w:pPr>
            <w:r w:rsidRPr="006E465A">
              <w:t>in 5041</w:t>
            </w:r>
          </w:p>
        </w:tc>
      </w:tr>
      <w:tr w:rsidR="006E465A" w:rsidRPr="006E465A" w14:paraId="53FA0D8F" w14:textId="77777777" w:rsidTr="00EC5453">
        <w:trPr>
          <w:trHeight w:val="614"/>
          <w:jc w:val="center"/>
        </w:trPr>
        <w:tc>
          <w:tcPr>
            <w:tcW w:w="5395" w:type="dxa"/>
            <w:shd w:val="clear" w:color="auto" w:fill="F7F7F7"/>
            <w:tcMar>
              <w:top w:w="60" w:type="dxa"/>
              <w:left w:w="134" w:type="dxa"/>
              <w:bottom w:w="143" w:type="dxa"/>
              <w:right w:w="134" w:type="dxa"/>
            </w:tcMar>
            <w:vAlign w:val="center"/>
            <w:hideMark/>
          </w:tcPr>
          <w:p w14:paraId="3F553D7D" w14:textId="1B1CBF88" w:rsidR="00E7279A" w:rsidRPr="006E465A" w:rsidRDefault="00BF6D03" w:rsidP="006E465A">
            <w:pPr>
              <w:spacing w:after="0" w:line="240" w:lineRule="auto"/>
            </w:pPr>
            <w:r>
              <w:t xml:space="preserve">Risk: </w:t>
            </w:r>
            <w:r w:rsidR="00E7279A" w:rsidRPr="006E465A">
              <w:t>No waged income in the household</w:t>
            </w:r>
          </w:p>
          <w:p w14:paraId="4424B662" w14:textId="49EA0160" w:rsidR="00E7279A" w:rsidRPr="006E465A" w:rsidRDefault="00BF6D03" w:rsidP="006E465A">
            <w:pPr>
              <w:spacing w:after="0" w:line="240" w:lineRule="auto"/>
            </w:pPr>
            <w:r>
              <w:t xml:space="preserve">Protective: </w:t>
            </w:r>
            <w:r w:rsidR="00E7279A" w:rsidRPr="006E465A">
              <w:t>At least one waged income in the household</w:t>
            </w:r>
          </w:p>
        </w:tc>
        <w:tc>
          <w:tcPr>
            <w:tcW w:w="2165" w:type="dxa"/>
            <w:shd w:val="clear" w:color="auto" w:fill="F7F7F7"/>
            <w:tcMar>
              <w:top w:w="60" w:type="dxa"/>
              <w:left w:w="134" w:type="dxa"/>
              <w:bottom w:w="143" w:type="dxa"/>
              <w:right w:w="134" w:type="dxa"/>
            </w:tcMar>
            <w:vAlign w:val="center"/>
            <w:hideMark/>
          </w:tcPr>
          <w:p w14:paraId="4F759C80" w14:textId="77777777" w:rsidR="00E7279A" w:rsidRPr="006E465A" w:rsidRDefault="00E7279A" w:rsidP="006E465A">
            <w:pPr>
              <w:spacing w:after="0" w:line="240" w:lineRule="auto"/>
            </w:pPr>
            <w:r w:rsidRPr="006E465A">
              <w:t>in 486</w:t>
            </w:r>
          </w:p>
          <w:p w14:paraId="6E01BE9A" w14:textId="77777777" w:rsidR="00E7279A" w:rsidRPr="006E465A" w:rsidRDefault="00E7279A" w:rsidP="006E465A">
            <w:pPr>
              <w:spacing w:after="0" w:line="240" w:lineRule="auto"/>
            </w:pPr>
            <w:r w:rsidRPr="006E465A">
              <w:t>in 2088</w:t>
            </w:r>
          </w:p>
        </w:tc>
      </w:tr>
      <w:tr w:rsidR="006E465A" w:rsidRPr="006E465A" w14:paraId="36730146" w14:textId="77777777" w:rsidTr="00EC5453">
        <w:trPr>
          <w:trHeight w:val="245"/>
          <w:jc w:val="center"/>
        </w:trPr>
        <w:tc>
          <w:tcPr>
            <w:tcW w:w="5395" w:type="dxa"/>
            <w:shd w:val="clear" w:color="auto" w:fill="D9D9D9"/>
            <w:tcMar>
              <w:top w:w="60" w:type="dxa"/>
              <w:left w:w="134" w:type="dxa"/>
              <w:bottom w:w="143" w:type="dxa"/>
              <w:right w:w="134" w:type="dxa"/>
            </w:tcMar>
            <w:vAlign w:val="center"/>
            <w:hideMark/>
          </w:tcPr>
          <w:p w14:paraId="3AE70B47" w14:textId="38EC8AC4" w:rsidR="00E7279A" w:rsidRPr="006E465A" w:rsidRDefault="00BF6D03" w:rsidP="006E465A">
            <w:pPr>
              <w:spacing w:after="0" w:line="240" w:lineRule="auto"/>
            </w:pPr>
            <w:r>
              <w:t xml:space="preserve">Risk: </w:t>
            </w:r>
            <w:r w:rsidR="00E7279A" w:rsidRPr="006E465A">
              <w:t>Mother &lt;27 years and parity</w:t>
            </w:r>
          </w:p>
          <w:p w14:paraId="4CA884F3" w14:textId="31439DE9" w:rsidR="00E7279A" w:rsidRPr="006E465A" w:rsidRDefault="00BF6D03" w:rsidP="006E465A">
            <w:pPr>
              <w:spacing w:after="0" w:line="240" w:lineRule="auto"/>
            </w:pPr>
            <w:r>
              <w:t xml:space="preserve">Protective: </w:t>
            </w:r>
            <w:r w:rsidR="00E7279A" w:rsidRPr="006E465A">
              <w:t>Mother &gt; 26 years and parity</w:t>
            </w:r>
          </w:p>
        </w:tc>
        <w:tc>
          <w:tcPr>
            <w:tcW w:w="2165" w:type="dxa"/>
            <w:shd w:val="clear" w:color="auto" w:fill="D9D9D9"/>
            <w:tcMar>
              <w:top w:w="60" w:type="dxa"/>
              <w:left w:w="134" w:type="dxa"/>
              <w:bottom w:w="143" w:type="dxa"/>
              <w:right w:w="134" w:type="dxa"/>
            </w:tcMar>
            <w:vAlign w:val="center"/>
            <w:hideMark/>
          </w:tcPr>
          <w:p w14:paraId="7801362A" w14:textId="77777777" w:rsidR="00E7279A" w:rsidRPr="006E465A" w:rsidRDefault="00E7279A" w:rsidP="006E465A">
            <w:pPr>
              <w:spacing w:after="0" w:line="240" w:lineRule="auto"/>
            </w:pPr>
            <w:r w:rsidRPr="006E465A">
              <w:t>in 567</w:t>
            </w:r>
          </w:p>
          <w:p w14:paraId="6187EBEE" w14:textId="77777777" w:rsidR="00E7279A" w:rsidRPr="006E465A" w:rsidRDefault="00E7279A" w:rsidP="006E465A">
            <w:pPr>
              <w:spacing w:after="0" w:line="240" w:lineRule="auto"/>
            </w:pPr>
            <w:r w:rsidRPr="006E465A">
              <w:t>in 1882</w:t>
            </w:r>
          </w:p>
        </w:tc>
      </w:tr>
      <w:tr w:rsidR="006E465A" w:rsidRPr="006E465A" w14:paraId="640C97CB" w14:textId="77777777" w:rsidTr="00EC5453">
        <w:trPr>
          <w:trHeight w:val="857"/>
          <w:jc w:val="center"/>
        </w:trPr>
        <w:tc>
          <w:tcPr>
            <w:tcW w:w="5395" w:type="dxa"/>
            <w:shd w:val="clear" w:color="auto" w:fill="F7F7F7"/>
            <w:tcMar>
              <w:top w:w="60" w:type="dxa"/>
              <w:left w:w="134" w:type="dxa"/>
              <w:bottom w:w="143" w:type="dxa"/>
              <w:right w:w="134" w:type="dxa"/>
            </w:tcMar>
            <w:vAlign w:val="center"/>
            <w:hideMark/>
          </w:tcPr>
          <w:p w14:paraId="75049EE9" w14:textId="7E08B701" w:rsidR="00E7279A" w:rsidRPr="006E465A" w:rsidRDefault="00E7279A" w:rsidP="006E465A">
            <w:pPr>
              <w:spacing w:after="0" w:line="240" w:lineRule="auto"/>
              <w:rPr>
                <w:color w:val="FF0000"/>
              </w:rPr>
            </w:pPr>
            <w:r w:rsidRPr="006E465A">
              <w:rPr>
                <w:color w:val="FF0000"/>
              </w:rPr>
              <w:t xml:space="preserve">None of these </w:t>
            </w:r>
            <w:r w:rsidR="00BF6D03">
              <w:rPr>
                <w:color w:val="FF0000"/>
              </w:rPr>
              <w:t xml:space="preserve">protective </w:t>
            </w:r>
            <w:r w:rsidRPr="006E465A">
              <w:rPr>
                <w:color w:val="FF0000"/>
              </w:rPr>
              <w:t>factors</w:t>
            </w:r>
          </w:p>
          <w:p w14:paraId="4D515198" w14:textId="57159770" w:rsidR="00E7279A" w:rsidRPr="006E465A" w:rsidRDefault="00E7279A" w:rsidP="006E465A">
            <w:pPr>
              <w:spacing w:after="0" w:line="240" w:lineRule="auto"/>
            </w:pPr>
            <w:r w:rsidRPr="006E465A">
              <w:t xml:space="preserve">One of these </w:t>
            </w:r>
            <w:r w:rsidR="00BF6D03">
              <w:rPr>
                <w:color w:val="FF0000"/>
              </w:rPr>
              <w:t xml:space="preserve">protective </w:t>
            </w:r>
            <w:r w:rsidRPr="006E465A">
              <w:t>factors</w:t>
            </w:r>
          </w:p>
          <w:p w14:paraId="43B42549" w14:textId="725F797A" w:rsidR="00E7279A" w:rsidRPr="006E465A" w:rsidRDefault="00E7279A" w:rsidP="006E465A">
            <w:pPr>
              <w:spacing w:after="0" w:line="240" w:lineRule="auto"/>
            </w:pPr>
            <w:r w:rsidRPr="006E465A">
              <w:t xml:space="preserve">Two of these </w:t>
            </w:r>
            <w:r w:rsidR="00BF6D03">
              <w:rPr>
                <w:color w:val="FF0000"/>
              </w:rPr>
              <w:t xml:space="preserve">protective </w:t>
            </w:r>
            <w:r w:rsidRPr="006E465A">
              <w:t>factors</w:t>
            </w:r>
          </w:p>
          <w:p w14:paraId="71073F07" w14:textId="53C43CB3" w:rsidR="00E7279A" w:rsidRPr="006E465A" w:rsidRDefault="00E7279A" w:rsidP="006E465A">
            <w:pPr>
              <w:spacing w:after="0" w:line="240" w:lineRule="auto"/>
            </w:pPr>
            <w:r w:rsidRPr="006E465A">
              <w:t xml:space="preserve">All three of these </w:t>
            </w:r>
            <w:r w:rsidR="00BF6D03">
              <w:rPr>
                <w:color w:val="FF0000"/>
              </w:rPr>
              <w:t xml:space="preserve">protective </w:t>
            </w:r>
            <w:r w:rsidRPr="006E465A">
              <w:t>factors</w:t>
            </w:r>
          </w:p>
        </w:tc>
        <w:tc>
          <w:tcPr>
            <w:tcW w:w="2165" w:type="dxa"/>
            <w:shd w:val="clear" w:color="auto" w:fill="F7F7F7"/>
            <w:tcMar>
              <w:top w:w="60" w:type="dxa"/>
              <w:left w:w="134" w:type="dxa"/>
              <w:bottom w:w="143" w:type="dxa"/>
              <w:right w:w="134" w:type="dxa"/>
            </w:tcMar>
            <w:vAlign w:val="center"/>
            <w:hideMark/>
          </w:tcPr>
          <w:p w14:paraId="3E09E3C2" w14:textId="77777777" w:rsidR="00E7279A" w:rsidRPr="006E465A" w:rsidRDefault="00E7279A" w:rsidP="006E465A">
            <w:pPr>
              <w:spacing w:after="0" w:line="240" w:lineRule="auto"/>
              <w:rPr>
                <w:color w:val="FF0000"/>
              </w:rPr>
            </w:pPr>
            <w:r w:rsidRPr="006E465A">
              <w:rPr>
                <w:color w:val="FF0000"/>
              </w:rPr>
              <w:t>in 8543</w:t>
            </w:r>
          </w:p>
          <w:p w14:paraId="1C7358D4" w14:textId="77777777" w:rsidR="00E7279A" w:rsidRPr="006E465A" w:rsidRDefault="00E7279A" w:rsidP="006E465A">
            <w:pPr>
              <w:spacing w:after="0" w:line="240" w:lineRule="auto"/>
            </w:pPr>
            <w:r w:rsidRPr="006E465A">
              <w:t>in 1616</w:t>
            </w:r>
          </w:p>
          <w:p w14:paraId="10237E35" w14:textId="77777777" w:rsidR="00E7279A" w:rsidRPr="006E465A" w:rsidRDefault="00E7279A" w:rsidP="006E465A">
            <w:pPr>
              <w:spacing w:after="0" w:line="240" w:lineRule="auto"/>
            </w:pPr>
            <w:r w:rsidRPr="006E465A">
              <w:t>in 596</w:t>
            </w:r>
          </w:p>
          <w:p w14:paraId="3CAD6BC7" w14:textId="77777777" w:rsidR="00E7279A" w:rsidRPr="006E465A" w:rsidRDefault="00E7279A" w:rsidP="006E465A">
            <w:pPr>
              <w:spacing w:after="0" w:line="240" w:lineRule="auto"/>
            </w:pPr>
            <w:r w:rsidRPr="006E465A">
              <w:t>in 214</w:t>
            </w:r>
          </w:p>
        </w:tc>
      </w:tr>
    </w:tbl>
    <w:p w14:paraId="131D016F" w14:textId="50D47169" w:rsidR="003055E6" w:rsidRDefault="003055E6" w:rsidP="0082780D"/>
    <w:p w14:paraId="010FA982" w14:textId="77777777" w:rsidR="003055E6" w:rsidRDefault="003055E6">
      <w:r>
        <w:br w:type="page"/>
      </w:r>
    </w:p>
    <w:p w14:paraId="196266FB" w14:textId="77777777" w:rsidR="00B85B00" w:rsidRDefault="00810389" w:rsidP="007662C2">
      <w:pPr>
        <w:pStyle w:val="ListParagraph"/>
        <w:numPr>
          <w:ilvl w:val="1"/>
          <w:numId w:val="3"/>
        </w:numPr>
      </w:pPr>
      <w:r>
        <w:lastRenderedPageBreak/>
        <w:t>Interestingly, in 199</w:t>
      </w:r>
      <w:r w:rsidR="00DA235D">
        <w:t>1</w:t>
      </w:r>
      <w:r>
        <w:t xml:space="preserve">, a study was published in </w:t>
      </w:r>
      <w:r w:rsidR="00DA235D">
        <w:t>Lancet</w:t>
      </w:r>
      <w:r>
        <w:t xml:space="preserve"> titled “</w:t>
      </w:r>
      <w:r w:rsidR="00DA235D">
        <w:t>Prospective cohort study of prone sleeping position and sudden infant death syndrome</w:t>
      </w:r>
      <w:r w:rsidR="004861DB">
        <w:t xml:space="preserve">” </w:t>
      </w:r>
      <w:r w:rsidR="00367D14">
        <w:t>indicat</w:t>
      </w:r>
      <w:r w:rsidR="00B85B00">
        <w:t>ing</w:t>
      </w:r>
      <w:r w:rsidR="00367D14">
        <w:t xml:space="preserve"> that prone sleeping position was significantly associated with increased risk of SIDS. </w:t>
      </w:r>
      <w:r w:rsidR="004861DB">
        <w:t xml:space="preserve">The table from this paper is replicated below. </w:t>
      </w:r>
      <w:r w:rsidR="00E70A5B">
        <w:t xml:space="preserve">The main exposure in this study was </w:t>
      </w:r>
      <w:r w:rsidR="00D770D2">
        <w:t>sleeping position (prone / not prone)</w:t>
      </w:r>
      <w:r w:rsidR="00777CC2">
        <w:t xml:space="preserve"> and the outcome was ‘died from SIDS.’ </w:t>
      </w:r>
    </w:p>
    <w:p w14:paraId="639491C4" w14:textId="77777777" w:rsidR="00B85B00" w:rsidRDefault="00B85B00" w:rsidP="00B85B00">
      <w:pPr>
        <w:pStyle w:val="ListParagraph"/>
        <w:ind w:left="1440"/>
      </w:pPr>
    </w:p>
    <w:p w14:paraId="7A05FAE2" w14:textId="445F51FF" w:rsidR="00C846F8" w:rsidRDefault="00777CC2" w:rsidP="00B85B00">
      <w:pPr>
        <w:pStyle w:val="ListParagraph"/>
        <w:numPr>
          <w:ilvl w:val="2"/>
          <w:numId w:val="3"/>
        </w:numPr>
      </w:pPr>
      <w:r>
        <w:t>Using the table, compute the relative risk</w:t>
      </w:r>
      <w:r w:rsidR="00D770D2">
        <w:t>, risk difference (difference between relative risks)</w:t>
      </w:r>
      <w:r>
        <w:t xml:space="preserve"> and odds ratio of dying from </w:t>
      </w:r>
      <w:r w:rsidR="00D770D2">
        <w:t>SIDS</w:t>
      </w:r>
      <w:r>
        <w:t xml:space="preserve"> for </w:t>
      </w:r>
      <w:r w:rsidR="00D770D2">
        <w:t>infants in prone positions (versus not)</w:t>
      </w:r>
      <w:r>
        <w:t xml:space="preserve">. Interpret the </w:t>
      </w:r>
      <w:r w:rsidR="00D770D2">
        <w:t xml:space="preserve">practical and legal significance of the </w:t>
      </w:r>
      <w:r>
        <w:t>results</w:t>
      </w:r>
      <w:r w:rsidR="00D770D2">
        <w:t xml:space="preserve"> </w:t>
      </w:r>
      <w:proofErr w:type="gramStart"/>
      <w:r w:rsidR="00B85B00">
        <w:t>in regards to</w:t>
      </w:r>
      <w:proofErr w:type="gramEnd"/>
      <w:r w:rsidR="00B85B00">
        <w:t xml:space="preserve"> the Sally Clark case </w:t>
      </w:r>
      <w:r w:rsidR="00D770D2">
        <w:t>(as mentioned above the results are statistically significant).</w:t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1411"/>
        <w:gridCol w:w="1559"/>
        <w:gridCol w:w="1350"/>
        <w:gridCol w:w="1620"/>
      </w:tblGrid>
      <w:tr w:rsidR="00FA0AB5" w14:paraId="3B690617" w14:textId="1E04E64F" w:rsidTr="00D770D2">
        <w:tc>
          <w:tcPr>
            <w:tcW w:w="5940" w:type="dxa"/>
            <w:gridSpan w:val="4"/>
          </w:tcPr>
          <w:p w14:paraId="3D04382B" w14:textId="502B903B" w:rsidR="00FA0AB5" w:rsidRDefault="0037762E" w:rsidP="0082780D">
            <w:r>
              <w:br w:type="page"/>
            </w:r>
            <w:r w:rsidR="00D770D2">
              <w:t>Cohort Study of SIDS (</w:t>
            </w:r>
            <w:proofErr w:type="gramStart"/>
            <w:r w:rsidR="00D770D2">
              <w:t>outcome)  by</w:t>
            </w:r>
            <w:proofErr w:type="gramEnd"/>
            <w:r w:rsidR="00D770D2">
              <w:t xml:space="preserve"> sleeping position (Exposure)</w:t>
            </w:r>
          </w:p>
        </w:tc>
      </w:tr>
      <w:tr w:rsidR="00901DF5" w14:paraId="2403B28F" w14:textId="4385A30F" w:rsidTr="00D770D2">
        <w:tc>
          <w:tcPr>
            <w:tcW w:w="1411" w:type="dxa"/>
          </w:tcPr>
          <w:p w14:paraId="520B2899" w14:textId="77777777" w:rsidR="00901DF5" w:rsidRDefault="00901DF5" w:rsidP="0082780D"/>
        </w:tc>
        <w:tc>
          <w:tcPr>
            <w:tcW w:w="1559" w:type="dxa"/>
          </w:tcPr>
          <w:p w14:paraId="112166CD" w14:textId="1038794F" w:rsidR="00901DF5" w:rsidRDefault="00901DF5" w:rsidP="0082780D">
            <w:r>
              <w:t>Upper Class</w:t>
            </w:r>
          </w:p>
        </w:tc>
        <w:tc>
          <w:tcPr>
            <w:tcW w:w="1350" w:type="dxa"/>
          </w:tcPr>
          <w:p w14:paraId="49718B8E" w14:textId="76374269" w:rsidR="00901DF5" w:rsidRDefault="00901DF5" w:rsidP="0082780D">
            <w:r>
              <w:t>Lower Class</w:t>
            </w:r>
          </w:p>
        </w:tc>
        <w:tc>
          <w:tcPr>
            <w:tcW w:w="1620" w:type="dxa"/>
          </w:tcPr>
          <w:p w14:paraId="78CD60FE" w14:textId="77777777" w:rsidR="00901DF5" w:rsidRDefault="00901DF5" w:rsidP="0082780D"/>
        </w:tc>
      </w:tr>
      <w:tr w:rsidR="00901DF5" w14:paraId="53546077" w14:textId="1D645A36" w:rsidTr="00D770D2">
        <w:tc>
          <w:tcPr>
            <w:tcW w:w="1411" w:type="dxa"/>
          </w:tcPr>
          <w:p w14:paraId="471B764D" w14:textId="3A0DF964" w:rsidR="00901DF5" w:rsidRDefault="00901DF5" w:rsidP="0082780D">
            <w:r>
              <w:t>Prone</w:t>
            </w:r>
          </w:p>
        </w:tc>
        <w:tc>
          <w:tcPr>
            <w:tcW w:w="1559" w:type="dxa"/>
          </w:tcPr>
          <w:p w14:paraId="03963F91" w14:textId="3408229A" w:rsidR="00901DF5" w:rsidRDefault="00901DF5" w:rsidP="0082780D">
            <w:r w:rsidRPr="0080591E">
              <w:t>9</w:t>
            </w:r>
          </w:p>
        </w:tc>
        <w:tc>
          <w:tcPr>
            <w:tcW w:w="1350" w:type="dxa"/>
          </w:tcPr>
          <w:p w14:paraId="36115E1D" w14:textId="4F5DF1D3" w:rsidR="00901DF5" w:rsidRDefault="00901DF5" w:rsidP="0082780D">
            <w:r>
              <w:t>837</w:t>
            </w:r>
          </w:p>
        </w:tc>
        <w:tc>
          <w:tcPr>
            <w:tcW w:w="1620" w:type="dxa"/>
          </w:tcPr>
          <w:p w14:paraId="2DE58629" w14:textId="3C183922" w:rsidR="00901DF5" w:rsidRDefault="00901DF5" w:rsidP="0082780D">
            <w:r>
              <w:t>846</w:t>
            </w:r>
          </w:p>
        </w:tc>
      </w:tr>
      <w:tr w:rsidR="00901DF5" w14:paraId="1F99F0ED" w14:textId="4F3D559A" w:rsidTr="00D770D2">
        <w:tc>
          <w:tcPr>
            <w:tcW w:w="1411" w:type="dxa"/>
          </w:tcPr>
          <w:p w14:paraId="67059E94" w14:textId="108428C4" w:rsidR="00901DF5" w:rsidRDefault="00901DF5" w:rsidP="0082780D">
            <w:r>
              <w:t>Non-prone</w:t>
            </w:r>
          </w:p>
        </w:tc>
        <w:tc>
          <w:tcPr>
            <w:tcW w:w="1559" w:type="dxa"/>
          </w:tcPr>
          <w:p w14:paraId="5DA17C70" w14:textId="6E57C32C" w:rsidR="00901DF5" w:rsidRDefault="00901DF5" w:rsidP="0082780D">
            <w:r>
              <w:t>6</w:t>
            </w:r>
          </w:p>
        </w:tc>
        <w:tc>
          <w:tcPr>
            <w:tcW w:w="1350" w:type="dxa"/>
          </w:tcPr>
          <w:p w14:paraId="172FCB60" w14:textId="7380BD90" w:rsidR="00901DF5" w:rsidRDefault="00901DF5" w:rsidP="0082780D">
            <w:r>
              <w:t>1755</w:t>
            </w:r>
          </w:p>
        </w:tc>
        <w:tc>
          <w:tcPr>
            <w:tcW w:w="1620" w:type="dxa"/>
          </w:tcPr>
          <w:p w14:paraId="7F09E2F0" w14:textId="0BF3F5A9" w:rsidR="00901DF5" w:rsidRDefault="00901DF5" w:rsidP="0082780D">
            <w:r>
              <w:t>1761</w:t>
            </w:r>
          </w:p>
        </w:tc>
      </w:tr>
      <w:tr w:rsidR="00901DF5" w14:paraId="77C4615C" w14:textId="4DC973F1" w:rsidTr="00D770D2">
        <w:tc>
          <w:tcPr>
            <w:tcW w:w="1411" w:type="dxa"/>
          </w:tcPr>
          <w:p w14:paraId="13A4E026" w14:textId="77777777" w:rsidR="00901DF5" w:rsidRDefault="00901DF5" w:rsidP="0082780D"/>
        </w:tc>
        <w:tc>
          <w:tcPr>
            <w:tcW w:w="1559" w:type="dxa"/>
          </w:tcPr>
          <w:p w14:paraId="3737CCD9" w14:textId="4FB70E90" w:rsidR="00901DF5" w:rsidRDefault="00901DF5" w:rsidP="0082780D">
            <w:r>
              <w:t>15</w:t>
            </w:r>
          </w:p>
        </w:tc>
        <w:tc>
          <w:tcPr>
            <w:tcW w:w="1350" w:type="dxa"/>
          </w:tcPr>
          <w:p w14:paraId="72BA7FC3" w14:textId="38AE9D78" w:rsidR="00901DF5" w:rsidRDefault="00901DF5" w:rsidP="0082780D">
            <w:r>
              <w:t>2592</w:t>
            </w:r>
          </w:p>
        </w:tc>
        <w:tc>
          <w:tcPr>
            <w:tcW w:w="1620" w:type="dxa"/>
          </w:tcPr>
          <w:p w14:paraId="4471B7F2" w14:textId="4F137B6B" w:rsidR="00901DF5" w:rsidRDefault="00901DF5" w:rsidP="0082780D">
            <w:r>
              <w:t>2607</w:t>
            </w:r>
          </w:p>
        </w:tc>
      </w:tr>
    </w:tbl>
    <w:p w14:paraId="4B61AAD8" w14:textId="6865B650" w:rsidR="00B85B00" w:rsidRDefault="00B85B00" w:rsidP="0082780D"/>
    <w:p w14:paraId="211003D1" w14:textId="77777777" w:rsidR="00B85B00" w:rsidRDefault="00B85B00">
      <w:r>
        <w:br w:type="page"/>
      </w:r>
    </w:p>
    <w:p w14:paraId="0C2E5453" w14:textId="7E6F19DA" w:rsidR="00B85B00" w:rsidRDefault="00B85B00">
      <w:r>
        <w:lastRenderedPageBreak/>
        <w:br w:type="page"/>
      </w:r>
    </w:p>
    <w:p w14:paraId="073FB17E" w14:textId="3188D477" w:rsidR="00B85B00" w:rsidRDefault="00B85B00">
      <w:r>
        <w:lastRenderedPageBreak/>
        <w:br w:type="page"/>
      </w:r>
    </w:p>
    <w:p w14:paraId="694B9AB7" w14:textId="147B553F" w:rsidR="00B85B00" w:rsidRDefault="00B85B00">
      <w:r>
        <w:lastRenderedPageBreak/>
        <w:br w:type="page"/>
      </w:r>
    </w:p>
    <w:p w14:paraId="5A82018A" w14:textId="4881F90D" w:rsidR="00B85B00" w:rsidRDefault="00B85B00">
      <w:r>
        <w:lastRenderedPageBreak/>
        <w:br w:type="page"/>
      </w:r>
    </w:p>
    <w:p w14:paraId="3D3C5378" w14:textId="77777777" w:rsidR="00777CC2" w:rsidRDefault="00777CC2" w:rsidP="0082780D"/>
    <w:sectPr w:rsidR="00777CC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B61AC" w14:textId="77777777" w:rsidR="00473B5B" w:rsidRDefault="00473B5B" w:rsidP="003055E6">
      <w:pPr>
        <w:spacing w:after="0" w:line="240" w:lineRule="auto"/>
      </w:pPr>
      <w:r>
        <w:separator/>
      </w:r>
    </w:p>
  </w:endnote>
  <w:endnote w:type="continuationSeparator" w:id="0">
    <w:p w14:paraId="599F86E4" w14:textId="77777777" w:rsidR="00473B5B" w:rsidRDefault="00473B5B" w:rsidP="003055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1592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33DDB" w14:textId="55D410D4" w:rsidR="003055E6" w:rsidRDefault="003055E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98AC96" w14:textId="77777777" w:rsidR="003055E6" w:rsidRDefault="003055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16C3D" w14:textId="77777777" w:rsidR="00473B5B" w:rsidRDefault="00473B5B" w:rsidP="003055E6">
      <w:pPr>
        <w:spacing w:after="0" w:line="240" w:lineRule="auto"/>
      </w:pPr>
      <w:r>
        <w:separator/>
      </w:r>
    </w:p>
  </w:footnote>
  <w:footnote w:type="continuationSeparator" w:id="0">
    <w:p w14:paraId="30A476DF" w14:textId="77777777" w:rsidR="00473B5B" w:rsidRDefault="00473B5B" w:rsidP="003055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97DB6"/>
    <w:multiLevelType w:val="hybridMultilevel"/>
    <w:tmpl w:val="0F741C2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F34909"/>
    <w:multiLevelType w:val="hybridMultilevel"/>
    <w:tmpl w:val="F5184CF2"/>
    <w:lvl w:ilvl="0" w:tplc="015EC5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253264"/>
    <w:multiLevelType w:val="hybridMultilevel"/>
    <w:tmpl w:val="51A23048"/>
    <w:lvl w:ilvl="0" w:tplc="E6609EC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38C629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9E26AA8">
      <w:start w:val="1"/>
      <w:numFmt w:val="lowerRoman"/>
      <w:lvlText w:val="%3."/>
      <w:lvlJc w:val="left"/>
      <w:pPr>
        <w:tabs>
          <w:tab w:val="num" w:pos="2160"/>
        </w:tabs>
        <w:ind w:left="2160" w:hanging="360"/>
      </w:pPr>
      <w:rPr>
        <w:rFonts w:asciiTheme="minorHAnsi" w:eastAsiaTheme="minorHAnsi" w:hAnsiTheme="minorHAnsi" w:cstheme="minorBidi"/>
      </w:rPr>
    </w:lvl>
    <w:lvl w:ilvl="3" w:tplc="C55CFDD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A394104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0B8C7D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D8A489F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6ABE77E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32CA5E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7D6615"/>
    <w:multiLevelType w:val="hybridMultilevel"/>
    <w:tmpl w:val="3A44C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2601055">
    <w:abstractNumId w:val="0"/>
  </w:num>
  <w:num w:numId="2" w16cid:durableId="277494438">
    <w:abstractNumId w:val="2"/>
  </w:num>
  <w:num w:numId="3" w16cid:durableId="1681618298">
    <w:abstractNumId w:val="3"/>
  </w:num>
  <w:num w:numId="4" w16cid:durableId="2611878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3F"/>
    <w:rsid w:val="000265DC"/>
    <w:rsid w:val="00063DAA"/>
    <w:rsid w:val="00063E79"/>
    <w:rsid w:val="00071564"/>
    <w:rsid w:val="00085574"/>
    <w:rsid w:val="000A02BF"/>
    <w:rsid w:val="000A4FB3"/>
    <w:rsid w:val="000C09B8"/>
    <w:rsid w:val="000E2B4B"/>
    <w:rsid w:val="000F41B7"/>
    <w:rsid w:val="00115E6C"/>
    <w:rsid w:val="00121306"/>
    <w:rsid w:val="001511D3"/>
    <w:rsid w:val="00156B5A"/>
    <w:rsid w:val="00174149"/>
    <w:rsid w:val="0017446F"/>
    <w:rsid w:val="001744BA"/>
    <w:rsid w:val="00177088"/>
    <w:rsid w:val="001A5585"/>
    <w:rsid w:val="001A73C3"/>
    <w:rsid w:val="001C2B4E"/>
    <w:rsid w:val="001C2DAD"/>
    <w:rsid w:val="001C3E56"/>
    <w:rsid w:val="001D2AE2"/>
    <w:rsid w:val="00217731"/>
    <w:rsid w:val="00267068"/>
    <w:rsid w:val="00287DDD"/>
    <w:rsid w:val="002A28F8"/>
    <w:rsid w:val="002A3F37"/>
    <w:rsid w:val="002A5476"/>
    <w:rsid w:val="002A5A0B"/>
    <w:rsid w:val="002F69C8"/>
    <w:rsid w:val="003055E6"/>
    <w:rsid w:val="00324146"/>
    <w:rsid w:val="00360B3A"/>
    <w:rsid w:val="003677DE"/>
    <w:rsid w:val="00367D14"/>
    <w:rsid w:val="0037762E"/>
    <w:rsid w:val="00382B96"/>
    <w:rsid w:val="00395E43"/>
    <w:rsid w:val="003B339A"/>
    <w:rsid w:val="003C041B"/>
    <w:rsid w:val="003D1B15"/>
    <w:rsid w:val="003D69A7"/>
    <w:rsid w:val="003D6B7C"/>
    <w:rsid w:val="003F5C83"/>
    <w:rsid w:val="00400CD2"/>
    <w:rsid w:val="00403F92"/>
    <w:rsid w:val="00422F32"/>
    <w:rsid w:val="00431C97"/>
    <w:rsid w:val="00473B5B"/>
    <w:rsid w:val="004813E0"/>
    <w:rsid w:val="004818EE"/>
    <w:rsid w:val="004861DB"/>
    <w:rsid w:val="004A177E"/>
    <w:rsid w:val="004D1F24"/>
    <w:rsid w:val="004E1701"/>
    <w:rsid w:val="004F34D6"/>
    <w:rsid w:val="004F3665"/>
    <w:rsid w:val="00502FCA"/>
    <w:rsid w:val="00530806"/>
    <w:rsid w:val="00536234"/>
    <w:rsid w:val="00541011"/>
    <w:rsid w:val="00544230"/>
    <w:rsid w:val="0054467E"/>
    <w:rsid w:val="00575428"/>
    <w:rsid w:val="0058010B"/>
    <w:rsid w:val="00592532"/>
    <w:rsid w:val="00594CBA"/>
    <w:rsid w:val="005B5F3F"/>
    <w:rsid w:val="0061475C"/>
    <w:rsid w:val="00617574"/>
    <w:rsid w:val="006226B2"/>
    <w:rsid w:val="006519D4"/>
    <w:rsid w:val="00676C4D"/>
    <w:rsid w:val="006856DB"/>
    <w:rsid w:val="00695C69"/>
    <w:rsid w:val="006A73CB"/>
    <w:rsid w:val="006B507C"/>
    <w:rsid w:val="006E465A"/>
    <w:rsid w:val="007350F2"/>
    <w:rsid w:val="0075409A"/>
    <w:rsid w:val="007604D4"/>
    <w:rsid w:val="0076251A"/>
    <w:rsid w:val="007662C2"/>
    <w:rsid w:val="00777CC2"/>
    <w:rsid w:val="007817CA"/>
    <w:rsid w:val="00787ED4"/>
    <w:rsid w:val="007A4E63"/>
    <w:rsid w:val="007A66AB"/>
    <w:rsid w:val="007C5C4D"/>
    <w:rsid w:val="007F1990"/>
    <w:rsid w:val="007F5444"/>
    <w:rsid w:val="0080591E"/>
    <w:rsid w:val="00810389"/>
    <w:rsid w:val="0082780D"/>
    <w:rsid w:val="00830370"/>
    <w:rsid w:val="00843072"/>
    <w:rsid w:val="00846722"/>
    <w:rsid w:val="00897D06"/>
    <w:rsid w:val="008A548C"/>
    <w:rsid w:val="008B52D0"/>
    <w:rsid w:val="008D1035"/>
    <w:rsid w:val="008F1FDA"/>
    <w:rsid w:val="00901DF5"/>
    <w:rsid w:val="00916856"/>
    <w:rsid w:val="009A12D5"/>
    <w:rsid w:val="009D4939"/>
    <w:rsid w:val="009D591E"/>
    <w:rsid w:val="009F77CA"/>
    <w:rsid w:val="00A0122F"/>
    <w:rsid w:val="00A02536"/>
    <w:rsid w:val="00A54E45"/>
    <w:rsid w:val="00AE454E"/>
    <w:rsid w:val="00B05C35"/>
    <w:rsid w:val="00B108B3"/>
    <w:rsid w:val="00B12E9C"/>
    <w:rsid w:val="00B151A7"/>
    <w:rsid w:val="00B21734"/>
    <w:rsid w:val="00B26665"/>
    <w:rsid w:val="00B6602F"/>
    <w:rsid w:val="00B85B00"/>
    <w:rsid w:val="00B940C9"/>
    <w:rsid w:val="00BE5559"/>
    <w:rsid w:val="00BF6D03"/>
    <w:rsid w:val="00C2336B"/>
    <w:rsid w:val="00C66E66"/>
    <w:rsid w:val="00C6786A"/>
    <w:rsid w:val="00C71DF4"/>
    <w:rsid w:val="00C81240"/>
    <w:rsid w:val="00C846F8"/>
    <w:rsid w:val="00CA2C2D"/>
    <w:rsid w:val="00CB0D54"/>
    <w:rsid w:val="00CC31AE"/>
    <w:rsid w:val="00CD2753"/>
    <w:rsid w:val="00CD4121"/>
    <w:rsid w:val="00CE0DB0"/>
    <w:rsid w:val="00D347D7"/>
    <w:rsid w:val="00D36087"/>
    <w:rsid w:val="00D4592D"/>
    <w:rsid w:val="00D63977"/>
    <w:rsid w:val="00D770D2"/>
    <w:rsid w:val="00D77A73"/>
    <w:rsid w:val="00DA09E7"/>
    <w:rsid w:val="00DA235D"/>
    <w:rsid w:val="00DA65E6"/>
    <w:rsid w:val="00DA665C"/>
    <w:rsid w:val="00DB0AAF"/>
    <w:rsid w:val="00DE3B99"/>
    <w:rsid w:val="00E06AD1"/>
    <w:rsid w:val="00E404D7"/>
    <w:rsid w:val="00E40A29"/>
    <w:rsid w:val="00E639E8"/>
    <w:rsid w:val="00E70A5B"/>
    <w:rsid w:val="00E7279A"/>
    <w:rsid w:val="00E7387B"/>
    <w:rsid w:val="00E97F46"/>
    <w:rsid w:val="00EC0F56"/>
    <w:rsid w:val="00EC2878"/>
    <w:rsid w:val="00EC5453"/>
    <w:rsid w:val="00ED3616"/>
    <w:rsid w:val="00EE2B93"/>
    <w:rsid w:val="00EE33D6"/>
    <w:rsid w:val="00EF5897"/>
    <w:rsid w:val="00F82620"/>
    <w:rsid w:val="00FA0AB5"/>
    <w:rsid w:val="00FA2341"/>
    <w:rsid w:val="00FA38F7"/>
    <w:rsid w:val="00FA6281"/>
    <w:rsid w:val="00FB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A1F9"/>
  <w15:chartTrackingRefBased/>
  <w15:docId w15:val="{D0345A73-535E-468A-9187-DEB781C0D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15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51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Spacing">
    <w:name w:val="No Spacing"/>
    <w:uiPriority w:val="1"/>
    <w:qFormat/>
    <w:rsid w:val="006E465A"/>
    <w:pPr>
      <w:spacing w:after="0" w:line="240" w:lineRule="auto"/>
    </w:pPr>
  </w:style>
  <w:style w:type="table" w:styleId="TableGrid">
    <w:name w:val="Table Grid"/>
    <w:basedOn w:val="TableNormal"/>
    <w:uiPriority w:val="39"/>
    <w:rsid w:val="00580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5E6"/>
  </w:style>
  <w:style w:type="paragraph" w:styleId="Footer">
    <w:name w:val="footer"/>
    <w:basedOn w:val="Normal"/>
    <w:link w:val="FooterChar"/>
    <w:uiPriority w:val="99"/>
    <w:unhideWhenUsed/>
    <w:rsid w:val="003055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9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7922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57381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2002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898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79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9A7FC12CB50A4097C486CD8CD69117" ma:contentTypeVersion="18" ma:contentTypeDescription="Create a new document." ma:contentTypeScope="" ma:versionID="5c596426e029c3bf96e8f575ab8c5d52">
  <xsd:schema xmlns:xsd="http://www.w3.org/2001/XMLSchema" xmlns:xs="http://www.w3.org/2001/XMLSchema" xmlns:p="http://schemas.microsoft.com/office/2006/metadata/properties" xmlns:ns3="8af2c334-a430-41de-afde-7e5b02016b08" xmlns:ns4="c4f41175-a8a9-44da-a6ab-b9a6b5c297b1" targetNamespace="http://schemas.microsoft.com/office/2006/metadata/properties" ma:root="true" ma:fieldsID="5030ff6c0d614aeeb250d09e255b9f02" ns3:_="" ns4:_="">
    <xsd:import namespace="8af2c334-a430-41de-afde-7e5b02016b08"/>
    <xsd:import namespace="c4f41175-a8a9-44da-a6ab-b9a6b5c297b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Locatio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f2c334-a430-41de-afde-7e5b02016b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f41175-a8a9-44da-a6ab-b9a6b5c29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af2c334-a430-41de-afde-7e5b02016b08" xsi:nil="true"/>
  </documentManagement>
</p:properties>
</file>

<file path=customXml/itemProps1.xml><?xml version="1.0" encoding="utf-8"?>
<ds:datastoreItem xmlns:ds="http://schemas.openxmlformats.org/officeDocument/2006/customXml" ds:itemID="{83FBB6A9-897A-4F22-9033-673EB7FAD3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f2c334-a430-41de-afde-7e5b02016b08"/>
    <ds:schemaRef ds:uri="c4f41175-a8a9-44da-a6ab-b9a6b5c29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6E5AF25-F379-40A2-834B-27E6E0C1D0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E8FC6C-672E-4F60-A9A7-5F29B91A96BF}">
  <ds:schemaRefs>
    <ds:schemaRef ds:uri="http://schemas.microsoft.com/office/2006/metadata/properties"/>
    <ds:schemaRef ds:uri="http://schemas.microsoft.com/office/infopath/2007/PartnerControls"/>
    <ds:schemaRef ds:uri="8af2c334-a430-41de-afde-7e5b02016b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13</Pages>
  <Words>1426</Words>
  <Characters>9212</Characters>
  <Application>Microsoft Office Word</Application>
  <DocSecurity>0</DocSecurity>
  <Lines>188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Ohio State University</Company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Barboza-Salerno, Gia</dc:creator>
  <cp:keywords/>
  <dc:description/>
  <cp:lastModifiedBy>Barboza-Salerno, Gia</cp:lastModifiedBy>
  <cp:revision>4</cp:revision>
  <dcterms:created xsi:type="dcterms:W3CDTF">2024-02-06T00:20:00Z</dcterms:created>
  <dcterms:modified xsi:type="dcterms:W3CDTF">2024-02-06T12:21:00Z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0x010100A89A7FC12CB50A4097C486CD8CD69117</vt:lpwstr>
  </property>
</Properties>
</file>