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1E49" w14:textId="77777777" w:rsid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Annotated Output of Mediation Analysis (PROCESS Model 4, Parallel Mediation)</w:t>
      </w:r>
    </w:p>
    <w:p w14:paraId="62BA6336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</w:p>
    <w:p w14:paraId="5DBD9DD5" w14:textId="504F05F9" w:rsidR="00B27001" w:rsidRDefault="00B27001" w:rsidP="00B27001">
      <w:p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  <w:b/>
          <w:bCs/>
        </w:rPr>
        <w:t>Model Used</w:t>
      </w:r>
      <w:r w:rsidRPr="00B27001">
        <w:rPr>
          <w:rFonts w:ascii="Times New Roman" w:hAnsi="Times New Roman" w:cs="Times New Roman"/>
        </w:rPr>
        <w:t>: Model 4 (Simple Mediation</w:t>
      </w:r>
      <w:r w:rsidRPr="00A977A9">
        <w:rPr>
          <w:rFonts w:ascii="Times New Roman" w:hAnsi="Times New Roman" w:cs="Times New Roman"/>
        </w:rPr>
        <w:t xml:space="preserve"> model with 2 mediators</w:t>
      </w:r>
      <w:r w:rsidRPr="00B27001">
        <w:rPr>
          <w:rFonts w:ascii="Times New Roman" w:hAnsi="Times New Roman" w:cs="Times New Roman"/>
        </w:rPr>
        <w:t>)</w:t>
      </w:r>
      <w:r w:rsidRPr="00A977A9">
        <w:rPr>
          <w:rFonts w:ascii="Times New Roman" w:hAnsi="Times New Roman" w:cs="Times New Roman"/>
        </w:rPr>
        <w:t xml:space="preserve">. </w:t>
      </w:r>
      <w:r w:rsidRPr="00B27001">
        <w:rPr>
          <w:rFonts w:ascii="Times New Roman" w:hAnsi="Times New Roman" w:cs="Times New Roman"/>
          <w:i/>
          <w:iCs/>
        </w:rPr>
        <w:t>X</w:t>
      </w:r>
      <w:r w:rsidRPr="00B27001">
        <w:rPr>
          <w:rFonts w:ascii="Times New Roman" w:hAnsi="Times New Roman" w:cs="Times New Roman"/>
        </w:rPr>
        <w:t xml:space="preserve"> (Independent Variable): </w:t>
      </w:r>
      <w:proofErr w:type="spellStart"/>
      <w:r w:rsidRPr="00B27001">
        <w:rPr>
          <w:rFonts w:ascii="Times New Roman" w:hAnsi="Times New Roman" w:cs="Times New Roman"/>
        </w:rPr>
        <w:t>cond</w:t>
      </w:r>
      <w:proofErr w:type="spellEnd"/>
      <w:r w:rsidRPr="00B27001">
        <w:rPr>
          <w:rFonts w:ascii="Times New Roman" w:hAnsi="Times New Roman" w:cs="Times New Roman"/>
        </w:rPr>
        <w:t xml:space="preserve"> (Condition: Front-page vs. Not)</w:t>
      </w:r>
      <w:r w:rsidRPr="00A977A9">
        <w:rPr>
          <w:rFonts w:ascii="Times New Roman" w:hAnsi="Times New Roman" w:cs="Times New Roman"/>
        </w:rPr>
        <w:t xml:space="preserve">, </w:t>
      </w:r>
      <w:r w:rsidRPr="00B27001">
        <w:rPr>
          <w:rFonts w:ascii="Times New Roman" w:hAnsi="Times New Roman" w:cs="Times New Roman"/>
          <w:i/>
          <w:iCs/>
        </w:rPr>
        <w:t>Y</w:t>
      </w:r>
      <w:r w:rsidRPr="00B27001">
        <w:rPr>
          <w:rFonts w:ascii="Times New Roman" w:hAnsi="Times New Roman" w:cs="Times New Roman"/>
        </w:rPr>
        <w:t xml:space="preserve"> (Dependent Variable): reaction (Intention to Buy Sugar)</w:t>
      </w:r>
      <w:r w:rsidRPr="00A977A9">
        <w:rPr>
          <w:rFonts w:ascii="Times New Roman" w:hAnsi="Times New Roman" w:cs="Times New Roman"/>
        </w:rPr>
        <w:t xml:space="preserve">, </w:t>
      </w:r>
      <w:r w:rsidRPr="00B27001">
        <w:rPr>
          <w:rFonts w:ascii="Times New Roman" w:hAnsi="Times New Roman" w:cs="Times New Roman"/>
          <w:i/>
          <w:iCs/>
        </w:rPr>
        <w:t>Mediators:</w:t>
      </w:r>
      <w:r w:rsidRPr="00A977A9">
        <w:rPr>
          <w:rFonts w:ascii="Times New Roman" w:hAnsi="Times New Roman" w:cs="Times New Roman"/>
          <w:i/>
          <w:iCs/>
        </w:rPr>
        <w:t xml:space="preserve"> </w:t>
      </w:r>
      <w:r w:rsidRPr="00B27001">
        <w:rPr>
          <w:rFonts w:ascii="Times New Roman" w:hAnsi="Times New Roman" w:cs="Times New Roman"/>
        </w:rPr>
        <w:t xml:space="preserve">M1: </w:t>
      </w:r>
      <w:proofErr w:type="spellStart"/>
      <w:r w:rsidRPr="00B27001">
        <w:rPr>
          <w:rFonts w:ascii="Times New Roman" w:hAnsi="Times New Roman" w:cs="Times New Roman"/>
        </w:rPr>
        <w:t>pmi</w:t>
      </w:r>
      <w:proofErr w:type="spellEnd"/>
      <w:r w:rsidRPr="00B27001">
        <w:rPr>
          <w:rFonts w:ascii="Times New Roman" w:hAnsi="Times New Roman" w:cs="Times New Roman"/>
        </w:rPr>
        <w:t xml:space="preserve"> (Presumed Media Influence)</w:t>
      </w:r>
      <w:r w:rsidRPr="00A977A9">
        <w:rPr>
          <w:rFonts w:ascii="Times New Roman" w:hAnsi="Times New Roman" w:cs="Times New Roman"/>
        </w:rPr>
        <w:t xml:space="preserve"> and </w:t>
      </w:r>
      <w:r w:rsidRPr="00B27001">
        <w:rPr>
          <w:rFonts w:ascii="Times New Roman" w:hAnsi="Times New Roman" w:cs="Times New Roman"/>
        </w:rPr>
        <w:t>M2: import (Perceived Importance of Article)</w:t>
      </w:r>
      <w:r w:rsidRPr="00A977A9">
        <w:rPr>
          <w:rFonts w:ascii="Times New Roman" w:hAnsi="Times New Roman" w:cs="Times New Roman"/>
        </w:rPr>
        <w:t>. The sample size is small: 123.</w:t>
      </w:r>
    </w:p>
    <w:p w14:paraId="7D76C420" w14:textId="77777777" w:rsidR="00B27001" w:rsidRPr="00B27001" w:rsidRDefault="00B27001" w:rsidP="00B27001">
      <w:pPr>
        <w:tabs>
          <w:tab w:val="num" w:pos="720"/>
        </w:tabs>
        <w:spacing w:after="0"/>
        <w:rPr>
          <w:rFonts w:ascii="Times New Roman" w:hAnsi="Times New Roman" w:cs="Times New Roman"/>
        </w:rPr>
      </w:pPr>
    </w:p>
    <w:p w14:paraId="61280C7A" w14:textId="5DF010B3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1st Outcome Variable: PMI (Mediator M1)</w:t>
      </w:r>
    </w:p>
    <w:p w14:paraId="58739CBB" w14:textId="77777777" w:rsidR="00B27001" w:rsidRPr="00B27001" w:rsidRDefault="00B27001" w:rsidP="00B2700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>This model estimates how the independent variable (</w:t>
      </w:r>
      <w:proofErr w:type="spellStart"/>
      <w:r w:rsidRPr="00B27001">
        <w:rPr>
          <w:rFonts w:ascii="Times New Roman" w:hAnsi="Times New Roman" w:cs="Times New Roman"/>
        </w:rPr>
        <w:t>cond</w:t>
      </w:r>
      <w:proofErr w:type="spellEnd"/>
      <w:r w:rsidRPr="00B27001">
        <w:rPr>
          <w:rFonts w:ascii="Times New Roman" w:hAnsi="Times New Roman" w:cs="Times New Roman"/>
        </w:rPr>
        <w:t>) affects the first mediator (</w:t>
      </w:r>
      <w:proofErr w:type="spellStart"/>
      <w:r w:rsidRPr="00B27001">
        <w:rPr>
          <w:rFonts w:ascii="Times New Roman" w:hAnsi="Times New Roman" w:cs="Times New Roman"/>
        </w:rPr>
        <w:t>pmi</w:t>
      </w:r>
      <w:proofErr w:type="spellEnd"/>
      <w:r w:rsidRPr="00B27001">
        <w:rPr>
          <w:rFonts w:ascii="Times New Roman" w:hAnsi="Times New Roman" w:cs="Times New Roman"/>
        </w:rPr>
        <w:t>).</w:t>
      </w:r>
    </w:p>
    <w:p w14:paraId="665087CD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5481"/>
      </w:tblGrid>
      <w:tr w:rsidR="00B27001" w:rsidRPr="00B27001" w14:paraId="10580BB9" w14:textId="77777777" w:rsidTr="00B27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6A375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4698D20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Value</w:t>
            </w:r>
          </w:p>
        </w:tc>
      </w:tr>
      <w:tr w:rsidR="00B27001" w:rsidRPr="00B27001" w14:paraId="741A3048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7EDE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R (Correlation Coefficient)</w:t>
            </w:r>
          </w:p>
        </w:tc>
        <w:tc>
          <w:tcPr>
            <w:tcW w:w="0" w:type="auto"/>
            <w:vAlign w:val="center"/>
            <w:hideMark/>
          </w:tcPr>
          <w:p w14:paraId="05FDC92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0.1808</w:t>
            </w:r>
          </w:p>
        </w:tc>
      </w:tr>
      <w:tr w:rsidR="00B27001" w:rsidRPr="00B27001" w14:paraId="3E571211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41EE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R² (Variance Explained)</w:t>
            </w:r>
          </w:p>
        </w:tc>
        <w:tc>
          <w:tcPr>
            <w:tcW w:w="0" w:type="auto"/>
            <w:vAlign w:val="center"/>
            <w:hideMark/>
          </w:tcPr>
          <w:p w14:paraId="49DD000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 xml:space="preserve">0.0327 (3.27% of variance in PMI is explained by </w:t>
            </w:r>
            <w:proofErr w:type="spellStart"/>
            <w:r w:rsidRPr="00B27001">
              <w:rPr>
                <w:rFonts w:ascii="Times New Roman" w:hAnsi="Times New Roman" w:cs="Times New Roman"/>
              </w:rPr>
              <w:t>cond</w:t>
            </w:r>
            <w:proofErr w:type="spellEnd"/>
            <w:r w:rsidRPr="00B27001">
              <w:rPr>
                <w:rFonts w:ascii="Times New Roman" w:hAnsi="Times New Roman" w:cs="Times New Roman"/>
              </w:rPr>
              <w:t>)</w:t>
            </w:r>
          </w:p>
        </w:tc>
      </w:tr>
      <w:tr w:rsidR="00B27001" w:rsidRPr="00B27001" w14:paraId="6F6CF1B9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E3E1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MSE (Mean Squared Error)</w:t>
            </w:r>
          </w:p>
        </w:tc>
        <w:tc>
          <w:tcPr>
            <w:tcW w:w="0" w:type="auto"/>
            <w:vAlign w:val="center"/>
            <w:hideMark/>
          </w:tcPr>
          <w:p w14:paraId="5F9EF013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1.7026</w:t>
            </w:r>
          </w:p>
        </w:tc>
      </w:tr>
      <w:tr w:rsidR="00B27001" w:rsidRPr="00B27001" w14:paraId="72B0819A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4AD5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F-statistic</w:t>
            </w:r>
          </w:p>
        </w:tc>
        <w:tc>
          <w:tcPr>
            <w:tcW w:w="0" w:type="auto"/>
            <w:vAlign w:val="center"/>
            <w:hideMark/>
          </w:tcPr>
          <w:p w14:paraId="3E7D9456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4.0878 (tests overall model fit)</w:t>
            </w:r>
          </w:p>
        </w:tc>
      </w:tr>
      <w:tr w:rsidR="00B27001" w:rsidRPr="00B27001" w14:paraId="6FE03A5F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F36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df1 (Predictor Degrees of Freedom)</w:t>
            </w:r>
          </w:p>
        </w:tc>
        <w:tc>
          <w:tcPr>
            <w:tcW w:w="0" w:type="auto"/>
            <w:vAlign w:val="center"/>
            <w:hideMark/>
          </w:tcPr>
          <w:p w14:paraId="6D4E4CAB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1</w:t>
            </w:r>
          </w:p>
        </w:tc>
      </w:tr>
      <w:tr w:rsidR="00B27001" w:rsidRPr="00B27001" w14:paraId="69A165B5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514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df2 (Residual Degrees of Freedom)</w:t>
            </w:r>
          </w:p>
        </w:tc>
        <w:tc>
          <w:tcPr>
            <w:tcW w:w="0" w:type="auto"/>
            <w:vAlign w:val="center"/>
            <w:hideMark/>
          </w:tcPr>
          <w:p w14:paraId="27364FD5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121</w:t>
            </w:r>
          </w:p>
        </w:tc>
      </w:tr>
      <w:tr w:rsidR="00B27001" w:rsidRPr="00B27001" w14:paraId="13C6F2C3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7CDF5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5F351DD9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0.0454 (significant at p &lt; 0.05)</w:t>
            </w:r>
          </w:p>
        </w:tc>
      </w:tr>
    </w:tbl>
    <w:p w14:paraId="2EB10B86" w14:textId="77777777" w:rsidR="00A977A9" w:rsidRDefault="00A977A9" w:rsidP="00B27001">
      <w:pPr>
        <w:spacing w:after="0"/>
        <w:rPr>
          <w:rFonts w:ascii="Times New Roman" w:hAnsi="Times New Roman" w:cs="Times New Roman"/>
          <w:b/>
          <w:bCs/>
        </w:rPr>
      </w:pPr>
    </w:p>
    <w:p w14:paraId="525BF004" w14:textId="61D7CBC4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Effect of Condition on PMI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95"/>
        <w:gridCol w:w="1744"/>
        <w:gridCol w:w="876"/>
        <w:gridCol w:w="756"/>
        <w:gridCol w:w="876"/>
        <w:gridCol w:w="2403"/>
      </w:tblGrid>
      <w:tr w:rsidR="00B27001" w:rsidRPr="00B27001" w14:paraId="261C71AD" w14:textId="77777777" w:rsidTr="00B27001">
        <w:tc>
          <w:tcPr>
            <w:tcW w:w="2695" w:type="dxa"/>
            <w:hideMark/>
          </w:tcPr>
          <w:p w14:paraId="2C13A6BE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1744" w:type="dxa"/>
            <w:hideMark/>
          </w:tcPr>
          <w:p w14:paraId="08F07FF9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Coefficient (Effect)</w:t>
            </w:r>
          </w:p>
        </w:tc>
        <w:tc>
          <w:tcPr>
            <w:tcW w:w="0" w:type="auto"/>
            <w:hideMark/>
          </w:tcPr>
          <w:p w14:paraId="0D6A28BC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hideMark/>
          </w:tcPr>
          <w:p w14:paraId="3CA96D65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0" w:type="auto"/>
            <w:hideMark/>
          </w:tcPr>
          <w:p w14:paraId="4AD67EE7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0" w:type="auto"/>
            <w:hideMark/>
          </w:tcPr>
          <w:p w14:paraId="21CF3B23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95% CI (LLCI, ULCI)</w:t>
            </w:r>
          </w:p>
        </w:tc>
      </w:tr>
      <w:tr w:rsidR="00B27001" w:rsidRPr="00B27001" w14:paraId="1D814A67" w14:textId="77777777" w:rsidTr="00B27001">
        <w:trPr>
          <w:trHeight w:val="57"/>
        </w:trPr>
        <w:tc>
          <w:tcPr>
            <w:tcW w:w="2695" w:type="dxa"/>
            <w:hideMark/>
          </w:tcPr>
          <w:p w14:paraId="2C41CA06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1744" w:type="dxa"/>
            <w:hideMark/>
          </w:tcPr>
          <w:p w14:paraId="72F0094A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5.3769</w:t>
            </w:r>
          </w:p>
        </w:tc>
        <w:tc>
          <w:tcPr>
            <w:tcW w:w="0" w:type="auto"/>
            <w:hideMark/>
          </w:tcPr>
          <w:p w14:paraId="7DA1562A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0.1618</w:t>
            </w:r>
          </w:p>
        </w:tc>
        <w:tc>
          <w:tcPr>
            <w:tcW w:w="0" w:type="auto"/>
            <w:hideMark/>
          </w:tcPr>
          <w:p w14:paraId="317373E2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33.22</w:t>
            </w:r>
          </w:p>
        </w:tc>
        <w:tc>
          <w:tcPr>
            <w:tcW w:w="0" w:type="auto"/>
            <w:hideMark/>
          </w:tcPr>
          <w:p w14:paraId="35316ADC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0" w:type="auto"/>
            <w:hideMark/>
          </w:tcPr>
          <w:p w14:paraId="43DD57E2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(5.0565, 5.6973)</w:t>
            </w:r>
          </w:p>
        </w:tc>
      </w:tr>
      <w:tr w:rsidR="00B27001" w:rsidRPr="00B27001" w14:paraId="5941F96C" w14:textId="77777777" w:rsidTr="00B27001">
        <w:tc>
          <w:tcPr>
            <w:tcW w:w="2695" w:type="dxa"/>
            <w:hideMark/>
          </w:tcPr>
          <w:p w14:paraId="041007F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Condition (X → M1)</w:t>
            </w:r>
          </w:p>
        </w:tc>
        <w:tc>
          <w:tcPr>
            <w:tcW w:w="1744" w:type="dxa"/>
            <w:hideMark/>
          </w:tcPr>
          <w:p w14:paraId="760E718F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0.4765</w:t>
            </w:r>
          </w:p>
        </w:tc>
        <w:tc>
          <w:tcPr>
            <w:tcW w:w="0" w:type="auto"/>
            <w:hideMark/>
          </w:tcPr>
          <w:p w14:paraId="23276B32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0.2357</w:t>
            </w:r>
          </w:p>
        </w:tc>
        <w:tc>
          <w:tcPr>
            <w:tcW w:w="0" w:type="auto"/>
            <w:hideMark/>
          </w:tcPr>
          <w:p w14:paraId="3A481489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2.02</w:t>
            </w:r>
          </w:p>
        </w:tc>
        <w:tc>
          <w:tcPr>
            <w:tcW w:w="0" w:type="auto"/>
            <w:hideMark/>
          </w:tcPr>
          <w:p w14:paraId="7A48AE86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0.0454</w:t>
            </w:r>
          </w:p>
        </w:tc>
        <w:tc>
          <w:tcPr>
            <w:tcW w:w="0" w:type="auto"/>
            <w:hideMark/>
          </w:tcPr>
          <w:p w14:paraId="515C33F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(0.0099, 0.9431)</w:t>
            </w:r>
          </w:p>
        </w:tc>
      </w:tr>
    </w:tbl>
    <w:p w14:paraId="76FADB12" w14:textId="77777777" w:rsidR="00B27001" w:rsidRPr="00B27001" w:rsidRDefault="00B27001" w:rsidP="00B27001">
      <w:pPr>
        <w:spacing w:after="0"/>
        <w:rPr>
          <w:rFonts w:ascii="Times New Roman" w:hAnsi="Times New Roman" w:cs="Times New Roman"/>
        </w:rPr>
      </w:pPr>
    </w:p>
    <w:p w14:paraId="54CFCDDB" w14:textId="06F8199A" w:rsidR="00B27001" w:rsidRPr="00B27001" w:rsidRDefault="00B27001" w:rsidP="00B27001">
      <w:p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>Being in the front-page condition significantly increases PMI by 0.4765 units on average (p = 0.0454), meaning that front-page placement increases people's belief in the media's influence.</w:t>
      </w:r>
    </w:p>
    <w:p w14:paraId="4319407F" w14:textId="77777777" w:rsidR="00B27001" w:rsidRPr="00B27001" w:rsidRDefault="00B27001" w:rsidP="00B27001">
      <w:p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pict w14:anchorId="486C6975">
          <v:rect id="_x0000_i1044" style="width:0;height:1.5pt" o:hralign="center" o:hrstd="t" o:hr="t" fillcolor="#a0a0a0" stroked="f"/>
        </w:pict>
      </w:r>
    </w:p>
    <w:p w14:paraId="3ACC1E3B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2nd Outcome Variable: IMPORT (Mediator M2)</w:t>
      </w:r>
    </w:p>
    <w:p w14:paraId="43B08BF5" w14:textId="77777777" w:rsidR="00B27001" w:rsidRPr="00B27001" w:rsidRDefault="00B27001" w:rsidP="00B27001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 xml:space="preserve">This model estimates how </w:t>
      </w:r>
      <w:proofErr w:type="spellStart"/>
      <w:r w:rsidRPr="00B27001">
        <w:rPr>
          <w:rFonts w:ascii="Times New Roman" w:hAnsi="Times New Roman" w:cs="Times New Roman"/>
        </w:rPr>
        <w:t>cond</w:t>
      </w:r>
      <w:proofErr w:type="spellEnd"/>
      <w:r w:rsidRPr="00B27001">
        <w:rPr>
          <w:rFonts w:ascii="Times New Roman" w:hAnsi="Times New Roman" w:cs="Times New Roman"/>
        </w:rPr>
        <w:t xml:space="preserve"> affects the second mediator (import).</w:t>
      </w:r>
    </w:p>
    <w:p w14:paraId="66F61DA1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5694"/>
      </w:tblGrid>
      <w:tr w:rsidR="00B27001" w:rsidRPr="00B27001" w14:paraId="233DF021" w14:textId="77777777" w:rsidTr="00B27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B8B59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7D915A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Value</w:t>
            </w:r>
          </w:p>
        </w:tc>
      </w:tr>
      <w:tr w:rsidR="00B27001" w:rsidRPr="00B27001" w14:paraId="78DC30C2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F1F0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91B56C3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0.1809</w:t>
            </w:r>
          </w:p>
        </w:tc>
      </w:tr>
      <w:tr w:rsidR="00B27001" w:rsidRPr="00B27001" w14:paraId="7BEF489E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6BFA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79062611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 xml:space="preserve">0.0327 (3.27% of variance in import is explained by </w:t>
            </w:r>
            <w:proofErr w:type="spellStart"/>
            <w:r w:rsidRPr="00B27001">
              <w:rPr>
                <w:rFonts w:ascii="Times New Roman" w:hAnsi="Times New Roman" w:cs="Times New Roman"/>
              </w:rPr>
              <w:t>cond</w:t>
            </w:r>
            <w:proofErr w:type="spellEnd"/>
            <w:r w:rsidRPr="00B27001">
              <w:rPr>
                <w:rFonts w:ascii="Times New Roman" w:hAnsi="Times New Roman" w:cs="Times New Roman"/>
              </w:rPr>
              <w:t>)</w:t>
            </w:r>
          </w:p>
        </w:tc>
      </w:tr>
      <w:tr w:rsidR="00B27001" w:rsidRPr="00B27001" w14:paraId="19523B18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1CBB6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16B0D7C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2.9411</w:t>
            </w:r>
          </w:p>
        </w:tc>
      </w:tr>
      <w:tr w:rsidR="00B27001" w:rsidRPr="00B27001" w14:paraId="253E244C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C6BD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F-statistic</w:t>
            </w:r>
          </w:p>
        </w:tc>
        <w:tc>
          <w:tcPr>
            <w:tcW w:w="0" w:type="auto"/>
            <w:vAlign w:val="center"/>
            <w:hideMark/>
          </w:tcPr>
          <w:p w14:paraId="7921EAEB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4.0942</w:t>
            </w:r>
          </w:p>
        </w:tc>
      </w:tr>
      <w:tr w:rsidR="00B27001" w:rsidRPr="00B27001" w14:paraId="1B503652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349CE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df1</w:t>
            </w:r>
          </w:p>
        </w:tc>
        <w:tc>
          <w:tcPr>
            <w:tcW w:w="0" w:type="auto"/>
            <w:vAlign w:val="center"/>
            <w:hideMark/>
          </w:tcPr>
          <w:p w14:paraId="053347A5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1</w:t>
            </w:r>
          </w:p>
        </w:tc>
      </w:tr>
      <w:tr w:rsidR="00B27001" w:rsidRPr="00B27001" w14:paraId="32AA2817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B629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df2</w:t>
            </w:r>
          </w:p>
        </w:tc>
        <w:tc>
          <w:tcPr>
            <w:tcW w:w="0" w:type="auto"/>
            <w:vAlign w:val="center"/>
            <w:hideMark/>
          </w:tcPr>
          <w:p w14:paraId="209942F3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121</w:t>
            </w:r>
          </w:p>
        </w:tc>
      </w:tr>
      <w:tr w:rsidR="00B27001" w:rsidRPr="00B27001" w14:paraId="251DC693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BC9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lastRenderedPageBreak/>
              <w:t>p-value</w:t>
            </w:r>
          </w:p>
        </w:tc>
        <w:tc>
          <w:tcPr>
            <w:tcW w:w="0" w:type="auto"/>
            <w:vAlign w:val="center"/>
            <w:hideMark/>
          </w:tcPr>
          <w:p w14:paraId="16DFDC9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0.0452 (significant at p &lt; 0.05)</w:t>
            </w:r>
          </w:p>
        </w:tc>
      </w:tr>
    </w:tbl>
    <w:p w14:paraId="296EB5DD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</w:p>
    <w:p w14:paraId="0257C0B6" w14:textId="3DB6D0A2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Effect of Condition on IMPORT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013"/>
        <w:gridCol w:w="720"/>
        <w:gridCol w:w="600"/>
        <w:gridCol w:w="720"/>
        <w:gridCol w:w="2409"/>
      </w:tblGrid>
      <w:tr w:rsidR="00B27001" w:rsidRPr="00B27001" w14:paraId="42198AD7" w14:textId="77777777" w:rsidTr="00B27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8A84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44ACCBC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Coefficient (Effect)</w:t>
            </w:r>
          </w:p>
        </w:tc>
        <w:tc>
          <w:tcPr>
            <w:tcW w:w="0" w:type="auto"/>
            <w:vAlign w:val="center"/>
            <w:hideMark/>
          </w:tcPr>
          <w:p w14:paraId="3412077A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32B5B507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FEEA1FC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0C93597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95% CI (LLCI, ULCI)</w:t>
            </w:r>
          </w:p>
        </w:tc>
      </w:tr>
      <w:tr w:rsidR="00B27001" w:rsidRPr="00B27001" w14:paraId="2B2CF3B4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41A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6413B062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3.9077</w:t>
            </w:r>
          </w:p>
        </w:tc>
        <w:tc>
          <w:tcPr>
            <w:tcW w:w="0" w:type="auto"/>
            <w:vAlign w:val="center"/>
            <w:hideMark/>
          </w:tcPr>
          <w:p w14:paraId="62627E16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0.2127</w:t>
            </w:r>
          </w:p>
        </w:tc>
        <w:tc>
          <w:tcPr>
            <w:tcW w:w="0" w:type="auto"/>
            <w:vAlign w:val="center"/>
            <w:hideMark/>
          </w:tcPr>
          <w:p w14:paraId="778BEDB4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18.37</w:t>
            </w:r>
          </w:p>
        </w:tc>
        <w:tc>
          <w:tcPr>
            <w:tcW w:w="0" w:type="auto"/>
            <w:vAlign w:val="center"/>
            <w:hideMark/>
          </w:tcPr>
          <w:p w14:paraId="4E2AF8D1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61984F74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(3.4866, 4.3288)</w:t>
            </w:r>
          </w:p>
        </w:tc>
      </w:tr>
      <w:tr w:rsidR="00B27001" w:rsidRPr="00B27001" w14:paraId="6BBDAB05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FCB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Condition (X → M2)</w:t>
            </w:r>
          </w:p>
        </w:tc>
        <w:tc>
          <w:tcPr>
            <w:tcW w:w="0" w:type="auto"/>
            <w:vAlign w:val="center"/>
            <w:hideMark/>
          </w:tcPr>
          <w:p w14:paraId="40248E0F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0.6268</w:t>
            </w:r>
          </w:p>
        </w:tc>
        <w:tc>
          <w:tcPr>
            <w:tcW w:w="0" w:type="auto"/>
            <w:vAlign w:val="center"/>
            <w:hideMark/>
          </w:tcPr>
          <w:p w14:paraId="556ABB47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0.3098</w:t>
            </w:r>
          </w:p>
        </w:tc>
        <w:tc>
          <w:tcPr>
            <w:tcW w:w="0" w:type="auto"/>
            <w:vAlign w:val="center"/>
            <w:hideMark/>
          </w:tcPr>
          <w:p w14:paraId="7A9F66DC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2.02</w:t>
            </w:r>
          </w:p>
        </w:tc>
        <w:tc>
          <w:tcPr>
            <w:tcW w:w="0" w:type="auto"/>
            <w:vAlign w:val="center"/>
            <w:hideMark/>
          </w:tcPr>
          <w:p w14:paraId="5039FE7B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0.0452</w:t>
            </w:r>
          </w:p>
        </w:tc>
        <w:tc>
          <w:tcPr>
            <w:tcW w:w="0" w:type="auto"/>
            <w:vAlign w:val="center"/>
            <w:hideMark/>
          </w:tcPr>
          <w:p w14:paraId="5BE49890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(0.0135, 1.2401)</w:t>
            </w:r>
          </w:p>
        </w:tc>
      </w:tr>
    </w:tbl>
    <w:p w14:paraId="4D2C9673" w14:textId="77777777" w:rsidR="00A75114" w:rsidRDefault="00A75114" w:rsidP="00A75114">
      <w:pPr>
        <w:spacing w:after="0"/>
        <w:rPr>
          <w:rFonts w:ascii="Times New Roman" w:hAnsi="Times New Roman" w:cs="Times New Roman"/>
        </w:rPr>
      </w:pPr>
    </w:p>
    <w:p w14:paraId="2B60AF77" w14:textId="6CBA9680" w:rsidR="00B27001" w:rsidRPr="00B27001" w:rsidRDefault="00B27001" w:rsidP="00A75114">
      <w:p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 xml:space="preserve">Being in the front-page condition significantly increases </w:t>
      </w:r>
      <w:r w:rsidRPr="00B27001">
        <w:rPr>
          <w:rFonts w:ascii="Times New Roman" w:hAnsi="Times New Roman" w:cs="Times New Roman"/>
          <w:b/>
          <w:bCs/>
        </w:rPr>
        <w:t>IMPORT</w:t>
      </w:r>
      <w:r w:rsidRPr="00B27001">
        <w:rPr>
          <w:rFonts w:ascii="Times New Roman" w:hAnsi="Times New Roman" w:cs="Times New Roman"/>
        </w:rPr>
        <w:t xml:space="preserve"> by </w:t>
      </w:r>
      <w:r w:rsidRPr="00B27001">
        <w:rPr>
          <w:rFonts w:ascii="Times New Roman" w:hAnsi="Times New Roman" w:cs="Times New Roman"/>
          <w:b/>
          <w:bCs/>
        </w:rPr>
        <w:t>0.6268</w:t>
      </w:r>
      <w:r w:rsidRPr="00B27001">
        <w:rPr>
          <w:rFonts w:ascii="Times New Roman" w:hAnsi="Times New Roman" w:cs="Times New Roman"/>
        </w:rPr>
        <w:t xml:space="preserve"> units (</w:t>
      </w:r>
      <w:r w:rsidRPr="00B27001">
        <w:rPr>
          <w:rFonts w:ascii="Times New Roman" w:hAnsi="Times New Roman" w:cs="Times New Roman"/>
          <w:b/>
          <w:bCs/>
        </w:rPr>
        <w:t>p = 0.0452</w:t>
      </w:r>
      <w:r w:rsidRPr="00B27001">
        <w:rPr>
          <w:rFonts w:ascii="Times New Roman" w:hAnsi="Times New Roman" w:cs="Times New Roman"/>
        </w:rPr>
        <w:t>), meaning that front-page placement increases people's perception of the article's importance.</w:t>
      </w:r>
    </w:p>
    <w:p w14:paraId="37382F6A" w14:textId="77777777" w:rsidR="00B27001" w:rsidRPr="00B27001" w:rsidRDefault="00B27001" w:rsidP="00B27001">
      <w:p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pict w14:anchorId="02168FAA">
          <v:rect id="_x0000_i1045" style="width:0;height:1.5pt" o:hralign="center" o:hrstd="t" o:hr="t" fillcolor="#a0a0a0" stroked="f"/>
        </w:pict>
      </w:r>
    </w:p>
    <w:p w14:paraId="017FBE6B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3rd Outcome Variable: REACTION (Final DV, Y)</w:t>
      </w:r>
    </w:p>
    <w:p w14:paraId="1CB8B83C" w14:textId="77777777" w:rsidR="00B27001" w:rsidRPr="00B27001" w:rsidRDefault="00B27001" w:rsidP="00B27001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 xml:space="preserve">This model estimates how </w:t>
      </w:r>
      <w:r w:rsidRPr="00B27001">
        <w:rPr>
          <w:rFonts w:ascii="Times New Roman" w:hAnsi="Times New Roman" w:cs="Times New Roman"/>
          <w:b/>
          <w:bCs/>
        </w:rPr>
        <w:t>both mediators</w:t>
      </w:r>
      <w:r w:rsidRPr="00B27001">
        <w:rPr>
          <w:rFonts w:ascii="Times New Roman" w:hAnsi="Times New Roman" w:cs="Times New Roman"/>
        </w:rPr>
        <w:t xml:space="preserve"> (</w:t>
      </w:r>
      <w:proofErr w:type="spellStart"/>
      <w:r w:rsidRPr="00B27001">
        <w:rPr>
          <w:rFonts w:ascii="Times New Roman" w:hAnsi="Times New Roman" w:cs="Times New Roman"/>
        </w:rPr>
        <w:t>pmi</w:t>
      </w:r>
      <w:proofErr w:type="spellEnd"/>
      <w:r w:rsidRPr="00B27001">
        <w:rPr>
          <w:rFonts w:ascii="Times New Roman" w:hAnsi="Times New Roman" w:cs="Times New Roman"/>
        </w:rPr>
        <w:t xml:space="preserve"> and import) influence reaction, while also assessing the direct effect of </w:t>
      </w:r>
      <w:proofErr w:type="spellStart"/>
      <w:r w:rsidRPr="00B27001">
        <w:rPr>
          <w:rFonts w:ascii="Times New Roman" w:hAnsi="Times New Roman" w:cs="Times New Roman"/>
        </w:rPr>
        <w:t>cond</w:t>
      </w:r>
      <w:proofErr w:type="spellEnd"/>
      <w:r w:rsidRPr="00B27001">
        <w:rPr>
          <w:rFonts w:ascii="Times New Roman" w:hAnsi="Times New Roman" w:cs="Times New Roman"/>
        </w:rPr>
        <w:t xml:space="preserve"> on reaction.</w:t>
      </w:r>
    </w:p>
    <w:p w14:paraId="75809376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6434"/>
      </w:tblGrid>
      <w:tr w:rsidR="00B27001" w:rsidRPr="00B27001" w14:paraId="596523B2" w14:textId="77777777" w:rsidTr="00B27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60E03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D748026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Value</w:t>
            </w:r>
          </w:p>
        </w:tc>
      </w:tr>
      <w:tr w:rsidR="00B27001" w:rsidRPr="00B27001" w14:paraId="7DEEEEE8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7411A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F29495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0.5702</w:t>
            </w:r>
          </w:p>
        </w:tc>
      </w:tr>
      <w:tr w:rsidR="00B27001" w:rsidRPr="00B27001" w14:paraId="5DE52CF0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40DA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6BD4CDB9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0.3251 (32.51% of variance in reaction is explained by the model)</w:t>
            </w:r>
          </w:p>
        </w:tc>
      </w:tr>
      <w:tr w:rsidR="00B27001" w:rsidRPr="00B27001" w14:paraId="1F5E34A2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E16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7C493409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1.6628</w:t>
            </w:r>
          </w:p>
        </w:tc>
      </w:tr>
      <w:tr w:rsidR="00B27001" w:rsidRPr="00B27001" w14:paraId="52DF68ED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5EBF6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F-statistic</w:t>
            </w:r>
          </w:p>
        </w:tc>
        <w:tc>
          <w:tcPr>
            <w:tcW w:w="0" w:type="auto"/>
            <w:vAlign w:val="center"/>
            <w:hideMark/>
          </w:tcPr>
          <w:p w14:paraId="700A36A6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19.1118</w:t>
            </w:r>
          </w:p>
        </w:tc>
      </w:tr>
      <w:tr w:rsidR="00B27001" w:rsidRPr="00B27001" w14:paraId="24F273A3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383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df1</w:t>
            </w:r>
          </w:p>
        </w:tc>
        <w:tc>
          <w:tcPr>
            <w:tcW w:w="0" w:type="auto"/>
            <w:vAlign w:val="center"/>
            <w:hideMark/>
          </w:tcPr>
          <w:p w14:paraId="457E9A4E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3</w:t>
            </w:r>
          </w:p>
        </w:tc>
      </w:tr>
      <w:tr w:rsidR="00B27001" w:rsidRPr="00B27001" w14:paraId="7D08195C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EAC4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df2</w:t>
            </w:r>
          </w:p>
        </w:tc>
        <w:tc>
          <w:tcPr>
            <w:tcW w:w="0" w:type="auto"/>
            <w:vAlign w:val="center"/>
            <w:hideMark/>
          </w:tcPr>
          <w:p w14:paraId="491D1DAC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119</w:t>
            </w:r>
          </w:p>
        </w:tc>
      </w:tr>
      <w:tr w:rsidR="00B27001" w:rsidRPr="00B27001" w14:paraId="5C8C06E7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1E25F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3B162B6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0.0000 (highly significant)</w:t>
            </w:r>
          </w:p>
        </w:tc>
      </w:tr>
    </w:tbl>
    <w:p w14:paraId="6C9FF815" w14:textId="77777777" w:rsidR="00A977A9" w:rsidRDefault="00A977A9" w:rsidP="00B27001">
      <w:pPr>
        <w:spacing w:after="0"/>
        <w:rPr>
          <w:rFonts w:ascii="Times New Roman" w:hAnsi="Times New Roman" w:cs="Times New Roman"/>
          <w:b/>
          <w:bCs/>
        </w:rPr>
      </w:pPr>
    </w:p>
    <w:p w14:paraId="02F1A8C2" w14:textId="5913EE0B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Effect of Condition and Mediators on Reaction</w:t>
      </w:r>
    </w:p>
    <w:tbl>
      <w:tblPr>
        <w:tblStyle w:val="TableGridLight"/>
        <w:tblW w:w="10350" w:type="dxa"/>
        <w:tblInd w:w="-275" w:type="dxa"/>
        <w:tblLook w:val="04A0" w:firstRow="1" w:lastRow="0" w:firstColumn="1" w:lastColumn="0" w:noHBand="0" w:noVBand="1"/>
      </w:tblPr>
      <w:tblGrid>
        <w:gridCol w:w="2362"/>
        <w:gridCol w:w="2102"/>
        <w:gridCol w:w="126"/>
        <w:gridCol w:w="962"/>
        <w:gridCol w:w="1131"/>
        <w:gridCol w:w="876"/>
        <w:gridCol w:w="2791"/>
      </w:tblGrid>
      <w:tr w:rsidR="00A977A9" w:rsidRPr="00B27001" w14:paraId="782E3687" w14:textId="77777777" w:rsidTr="00A977A9">
        <w:tc>
          <w:tcPr>
            <w:tcW w:w="2362" w:type="dxa"/>
            <w:hideMark/>
          </w:tcPr>
          <w:p w14:paraId="0BE3CFFB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2228" w:type="dxa"/>
            <w:gridSpan w:val="2"/>
            <w:hideMark/>
          </w:tcPr>
          <w:p w14:paraId="3DAE77D3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Coefficient (Effect)</w:t>
            </w:r>
          </w:p>
        </w:tc>
        <w:tc>
          <w:tcPr>
            <w:tcW w:w="962" w:type="dxa"/>
            <w:hideMark/>
          </w:tcPr>
          <w:p w14:paraId="6937A77E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1131" w:type="dxa"/>
            <w:hideMark/>
          </w:tcPr>
          <w:p w14:paraId="17217321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876" w:type="dxa"/>
            <w:hideMark/>
          </w:tcPr>
          <w:p w14:paraId="794A711B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2791" w:type="dxa"/>
            <w:hideMark/>
          </w:tcPr>
          <w:p w14:paraId="37E21AE3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95% CI (LLCI, ULCI)</w:t>
            </w:r>
          </w:p>
        </w:tc>
      </w:tr>
      <w:tr w:rsidR="00A977A9" w:rsidRPr="00B27001" w14:paraId="5940FE12" w14:textId="77777777" w:rsidTr="00A977A9">
        <w:tc>
          <w:tcPr>
            <w:tcW w:w="2362" w:type="dxa"/>
            <w:hideMark/>
          </w:tcPr>
          <w:p w14:paraId="1FEEBE80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102" w:type="dxa"/>
            <w:hideMark/>
          </w:tcPr>
          <w:p w14:paraId="250EE5E1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-0.1498</w:t>
            </w:r>
          </w:p>
        </w:tc>
        <w:tc>
          <w:tcPr>
            <w:tcW w:w="1088" w:type="dxa"/>
            <w:gridSpan w:val="2"/>
            <w:hideMark/>
          </w:tcPr>
          <w:p w14:paraId="4795B71D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0.5298</w:t>
            </w:r>
          </w:p>
        </w:tc>
        <w:tc>
          <w:tcPr>
            <w:tcW w:w="1131" w:type="dxa"/>
            <w:hideMark/>
          </w:tcPr>
          <w:p w14:paraId="559EAD39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-0.2828</w:t>
            </w:r>
          </w:p>
        </w:tc>
        <w:tc>
          <w:tcPr>
            <w:tcW w:w="876" w:type="dxa"/>
            <w:hideMark/>
          </w:tcPr>
          <w:p w14:paraId="43684DCE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0.7778</w:t>
            </w:r>
          </w:p>
        </w:tc>
        <w:tc>
          <w:tcPr>
            <w:tcW w:w="2791" w:type="dxa"/>
            <w:hideMark/>
          </w:tcPr>
          <w:p w14:paraId="137DB978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(-1.1989, 0.8993)</w:t>
            </w:r>
          </w:p>
        </w:tc>
      </w:tr>
      <w:tr w:rsidR="00A977A9" w:rsidRPr="00B27001" w14:paraId="5BE3D533" w14:textId="77777777" w:rsidTr="00A977A9">
        <w:tc>
          <w:tcPr>
            <w:tcW w:w="2362" w:type="dxa"/>
            <w:hideMark/>
          </w:tcPr>
          <w:p w14:paraId="2D5FCB56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Condition (X → Y)</w:t>
            </w:r>
          </w:p>
        </w:tc>
        <w:tc>
          <w:tcPr>
            <w:tcW w:w="2102" w:type="dxa"/>
            <w:hideMark/>
          </w:tcPr>
          <w:p w14:paraId="4F087111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0.1034</w:t>
            </w:r>
          </w:p>
        </w:tc>
        <w:tc>
          <w:tcPr>
            <w:tcW w:w="1088" w:type="dxa"/>
            <w:gridSpan w:val="2"/>
            <w:hideMark/>
          </w:tcPr>
          <w:p w14:paraId="11E67651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0.2391</w:t>
            </w:r>
          </w:p>
        </w:tc>
        <w:tc>
          <w:tcPr>
            <w:tcW w:w="1131" w:type="dxa"/>
            <w:hideMark/>
          </w:tcPr>
          <w:p w14:paraId="5155AC6F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0.4324</w:t>
            </w:r>
          </w:p>
        </w:tc>
        <w:tc>
          <w:tcPr>
            <w:tcW w:w="876" w:type="dxa"/>
            <w:hideMark/>
          </w:tcPr>
          <w:p w14:paraId="5EC50234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0.6662</w:t>
            </w:r>
          </w:p>
        </w:tc>
        <w:tc>
          <w:tcPr>
            <w:tcW w:w="2791" w:type="dxa"/>
            <w:hideMark/>
          </w:tcPr>
          <w:p w14:paraId="46F2639A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(-0.3701, 0.5768)</w:t>
            </w:r>
          </w:p>
        </w:tc>
      </w:tr>
      <w:tr w:rsidR="00A977A9" w:rsidRPr="00B27001" w14:paraId="3E45E2C8" w14:textId="77777777" w:rsidTr="00A977A9">
        <w:tc>
          <w:tcPr>
            <w:tcW w:w="2362" w:type="dxa"/>
            <w:hideMark/>
          </w:tcPr>
          <w:p w14:paraId="4E76DF97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PMI (M1 → Y)</w:t>
            </w:r>
          </w:p>
        </w:tc>
        <w:tc>
          <w:tcPr>
            <w:tcW w:w="2102" w:type="dxa"/>
            <w:hideMark/>
          </w:tcPr>
          <w:p w14:paraId="416C8A6F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0.3965</w:t>
            </w:r>
          </w:p>
        </w:tc>
        <w:tc>
          <w:tcPr>
            <w:tcW w:w="1088" w:type="dxa"/>
            <w:gridSpan w:val="2"/>
            <w:hideMark/>
          </w:tcPr>
          <w:p w14:paraId="7C079159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1131" w:type="dxa"/>
            <w:hideMark/>
          </w:tcPr>
          <w:p w14:paraId="495FF90B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4.2645</w:t>
            </w:r>
          </w:p>
        </w:tc>
        <w:tc>
          <w:tcPr>
            <w:tcW w:w="876" w:type="dxa"/>
            <w:hideMark/>
          </w:tcPr>
          <w:p w14:paraId="01E202A0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2791" w:type="dxa"/>
            <w:hideMark/>
          </w:tcPr>
          <w:p w14:paraId="568B6F9E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(0.2124, 0.5806)</w:t>
            </w:r>
          </w:p>
        </w:tc>
      </w:tr>
      <w:tr w:rsidR="00A977A9" w:rsidRPr="00B27001" w14:paraId="71ADA843" w14:textId="77777777" w:rsidTr="00A977A9">
        <w:tc>
          <w:tcPr>
            <w:tcW w:w="2362" w:type="dxa"/>
            <w:hideMark/>
          </w:tcPr>
          <w:p w14:paraId="1A19F01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IMPORT (M2 → Y)</w:t>
            </w:r>
          </w:p>
        </w:tc>
        <w:tc>
          <w:tcPr>
            <w:tcW w:w="2102" w:type="dxa"/>
            <w:hideMark/>
          </w:tcPr>
          <w:p w14:paraId="701C8F99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0.3244</w:t>
            </w:r>
          </w:p>
        </w:tc>
        <w:tc>
          <w:tcPr>
            <w:tcW w:w="1088" w:type="dxa"/>
            <w:gridSpan w:val="2"/>
            <w:hideMark/>
          </w:tcPr>
          <w:p w14:paraId="12BDDA58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0.0707</w:t>
            </w:r>
          </w:p>
        </w:tc>
        <w:tc>
          <w:tcPr>
            <w:tcW w:w="1131" w:type="dxa"/>
            <w:hideMark/>
          </w:tcPr>
          <w:p w14:paraId="186E1BE4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4.5857</w:t>
            </w:r>
          </w:p>
        </w:tc>
        <w:tc>
          <w:tcPr>
            <w:tcW w:w="876" w:type="dxa"/>
            <w:hideMark/>
          </w:tcPr>
          <w:p w14:paraId="5330BCF7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2791" w:type="dxa"/>
            <w:hideMark/>
          </w:tcPr>
          <w:p w14:paraId="0FCE1FFB" w14:textId="77777777" w:rsidR="00B27001" w:rsidRPr="00B27001" w:rsidRDefault="00B27001" w:rsidP="00A977A9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(0.1843, 0.4645)</w:t>
            </w:r>
          </w:p>
        </w:tc>
      </w:tr>
    </w:tbl>
    <w:p w14:paraId="27CFDF54" w14:textId="77777777" w:rsidR="00B27001" w:rsidRPr="00B27001" w:rsidRDefault="00B27001" w:rsidP="00B27001">
      <w:pPr>
        <w:spacing w:after="0"/>
        <w:ind w:left="360"/>
        <w:rPr>
          <w:rFonts w:ascii="Times New Roman" w:hAnsi="Times New Roman" w:cs="Times New Roman"/>
        </w:rPr>
      </w:pPr>
    </w:p>
    <w:p w14:paraId="6051A802" w14:textId="77777777" w:rsidR="00B27001" w:rsidRPr="00B27001" w:rsidRDefault="00B27001" w:rsidP="00B27001">
      <w:p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 xml:space="preserve">The </w:t>
      </w:r>
      <w:r w:rsidRPr="00B27001">
        <w:rPr>
          <w:rFonts w:ascii="Times New Roman" w:hAnsi="Times New Roman" w:cs="Times New Roman"/>
          <w:b/>
          <w:bCs/>
        </w:rPr>
        <w:t>direct effect of X on Y is not significant</w:t>
      </w:r>
      <w:r w:rsidRPr="00B27001">
        <w:rPr>
          <w:rFonts w:ascii="Times New Roman" w:hAnsi="Times New Roman" w:cs="Times New Roman"/>
        </w:rPr>
        <w:t xml:space="preserve"> (</w:t>
      </w:r>
      <w:r w:rsidRPr="00B27001">
        <w:rPr>
          <w:rFonts w:ascii="Times New Roman" w:hAnsi="Times New Roman" w:cs="Times New Roman"/>
          <w:b/>
          <w:bCs/>
        </w:rPr>
        <w:t>p = 0.6662</w:t>
      </w:r>
      <w:r w:rsidRPr="00B27001">
        <w:rPr>
          <w:rFonts w:ascii="Times New Roman" w:hAnsi="Times New Roman" w:cs="Times New Roman"/>
        </w:rPr>
        <w:t xml:space="preserve">), meaning that front-page placement </w:t>
      </w:r>
      <w:r w:rsidRPr="00B27001">
        <w:rPr>
          <w:rFonts w:ascii="Times New Roman" w:hAnsi="Times New Roman" w:cs="Times New Roman"/>
          <w:b/>
          <w:bCs/>
        </w:rPr>
        <w:t>does not directly</w:t>
      </w:r>
      <w:r w:rsidRPr="00B27001">
        <w:rPr>
          <w:rFonts w:ascii="Times New Roman" w:hAnsi="Times New Roman" w:cs="Times New Roman"/>
        </w:rPr>
        <w:t xml:space="preserve"> influence purchase intentions.</w:t>
      </w:r>
      <w:r w:rsidRPr="00B27001">
        <w:rPr>
          <w:rFonts w:ascii="Times New Roman" w:hAnsi="Times New Roman" w:cs="Times New Roman"/>
        </w:rPr>
        <w:t xml:space="preserve"> </w:t>
      </w:r>
      <w:r w:rsidRPr="00B27001">
        <w:rPr>
          <w:rFonts w:ascii="Times New Roman" w:hAnsi="Times New Roman" w:cs="Times New Roman"/>
          <w:b/>
          <w:bCs/>
        </w:rPr>
        <w:t>Both mediators significantly predict reaction</w:t>
      </w:r>
      <w:r w:rsidRPr="00B27001">
        <w:rPr>
          <w:rFonts w:ascii="Times New Roman" w:hAnsi="Times New Roman" w:cs="Times New Roman"/>
        </w:rPr>
        <w:t xml:space="preserve"> (</w:t>
      </w:r>
      <w:r w:rsidRPr="00B27001">
        <w:rPr>
          <w:rFonts w:ascii="Times New Roman" w:hAnsi="Times New Roman" w:cs="Times New Roman"/>
          <w:b/>
          <w:bCs/>
        </w:rPr>
        <w:t>p &lt; 0.0001</w:t>
      </w:r>
      <w:r w:rsidRPr="00B27001">
        <w:rPr>
          <w:rFonts w:ascii="Times New Roman" w:hAnsi="Times New Roman" w:cs="Times New Roman"/>
        </w:rPr>
        <w:t>), meaning that PMI and IMPORT are key pathways through which the front-page article influences buying intentions.</w:t>
      </w:r>
      <w:r w:rsidRPr="00B27001">
        <w:rPr>
          <w:rFonts w:ascii="Times New Roman" w:hAnsi="Times New Roman" w:cs="Times New Roman"/>
        </w:rPr>
        <w:t xml:space="preserve"> </w:t>
      </w:r>
    </w:p>
    <w:p w14:paraId="0EC17358" w14:textId="06575B2E" w:rsidR="00B27001" w:rsidRPr="00B27001" w:rsidRDefault="00B27001" w:rsidP="00B27001">
      <w:pPr>
        <w:pStyle w:val="ListParagraph"/>
        <w:numPr>
          <w:ilvl w:val="0"/>
          <w:numId w:val="9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  <w:b/>
          <w:bCs/>
        </w:rPr>
        <w:t>PMI</w:t>
      </w:r>
      <w:r w:rsidRPr="00B27001">
        <w:rPr>
          <w:rFonts w:ascii="Times New Roman" w:hAnsi="Times New Roman" w:cs="Times New Roman"/>
        </w:rPr>
        <w:t>: Higher perceived media influence increases purchase intention.</w:t>
      </w:r>
    </w:p>
    <w:p w14:paraId="2E72A786" w14:textId="77777777" w:rsidR="00B27001" w:rsidRPr="00B27001" w:rsidRDefault="00B27001" w:rsidP="00B27001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  <w:b/>
          <w:bCs/>
        </w:rPr>
        <w:t>IMPORT</w:t>
      </w:r>
      <w:r w:rsidRPr="00B27001">
        <w:rPr>
          <w:rFonts w:ascii="Times New Roman" w:hAnsi="Times New Roman" w:cs="Times New Roman"/>
        </w:rPr>
        <w:t>: Greater perceived importance of the article increases purchase intention.</w:t>
      </w:r>
    </w:p>
    <w:p w14:paraId="3CD5F89E" w14:textId="77777777" w:rsidR="00A977A9" w:rsidRDefault="00A977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C1B433A" w14:textId="4FFD2089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lastRenderedPageBreak/>
        <w:t xml:space="preserve">Summary of </w:t>
      </w:r>
      <w:r w:rsidRPr="00B27001">
        <w:rPr>
          <w:rFonts w:ascii="Times New Roman" w:hAnsi="Times New Roman" w:cs="Times New Roman"/>
          <w:b/>
          <w:bCs/>
        </w:rPr>
        <w:t>Direct and Indirect Effects of X on Y</w:t>
      </w:r>
    </w:p>
    <w:p w14:paraId="0CEECC42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Direct Effect of X on 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720"/>
        <w:gridCol w:w="720"/>
        <w:gridCol w:w="720"/>
        <w:gridCol w:w="800"/>
        <w:gridCol w:w="735"/>
      </w:tblGrid>
      <w:tr w:rsidR="00B27001" w:rsidRPr="00B27001" w14:paraId="2D59B5F2" w14:textId="77777777" w:rsidTr="00B27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EBEB1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76866769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1D3A228E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A4C5B5B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E598D9F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LLCI</w:t>
            </w:r>
          </w:p>
        </w:tc>
        <w:tc>
          <w:tcPr>
            <w:tcW w:w="0" w:type="auto"/>
            <w:vAlign w:val="center"/>
            <w:hideMark/>
          </w:tcPr>
          <w:p w14:paraId="0C9AE541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ULCI</w:t>
            </w:r>
          </w:p>
        </w:tc>
      </w:tr>
      <w:tr w:rsidR="00B27001" w:rsidRPr="00B27001" w14:paraId="290992EB" w14:textId="77777777" w:rsidTr="00B27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DBC1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0.1034</w:t>
            </w:r>
          </w:p>
        </w:tc>
        <w:tc>
          <w:tcPr>
            <w:tcW w:w="0" w:type="auto"/>
            <w:vAlign w:val="center"/>
            <w:hideMark/>
          </w:tcPr>
          <w:p w14:paraId="26EC68F6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0.2391</w:t>
            </w:r>
          </w:p>
        </w:tc>
        <w:tc>
          <w:tcPr>
            <w:tcW w:w="0" w:type="auto"/>
            <w:vAlign w:val="center"/>
            <w:hideMark/>
          </w:tcPr>
          <w:p w14:paraId="568363C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0.4324</w:t>
            </w:r>
          </w:p>
        </w:tc>
        <w:tc>
          <w:tcPr>
            <w:tcW w:w="0" w:type="auto"/>
            <w:vAlign w:val="center"/>
            <w:hideMark/>
          </w:tcPr>
          <w:p w14:paraId="0997D543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0.6662</w:t>
            </w:r>
          </w:p>
        </w:tc>
        <w:tc>
          <w:tcPr>
            <w:tcW w:w="0" w:type="auto"/>
            <w:vAlign w:val="center"/>
            <w:hideMark/>
          </w:tcPr>
          <w:p w14:paraId="20DD2A82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-0.3701</w:t>
            </w:r>
          </w:p>
        </w:tc>
        <w:tc>
          <w:tcPr>
            <w:tcW w:w="0" w:type="auto"/>
            <w:vAlign w:val="center"/>
            <w:hideMark/>
          </w:tcPr>
          <w:p w14:paraId="5FB4756C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0.5768</w:t>
            </w:r>
          </w:p>
        </w:tc>
      </w:tr>
    </w:tbl>
    <w:p w14:paraId="0D4D0E39" w14:textId="77777777" w:rsidR="00B27001" w:rsidRPr="00B27001" w:rsidRDefault="00B27001" w:rsidP="00B27001">
      <w:pPr>
        <w:spacing w:after="0"/>
        <w:rPr>
          <w:rFonts w:ascii="Times New Roman" w:hAnsi="Times New Roman" w:cs="Times New Roman"/>
        </w:rPr>
      </w:pPr>
    </w:p>
    <w:p w14:paraId="6F55FD50" w14:textId="5048A0C9" w:rsidR="00B27001" w:rsidRPr="00B27001" w:rsidRDefault="00B27001" w:rsidP="00B27001">
      <w:p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 xml:space="preserve">The direct effect of </w:t>
      </w:r>
      <w:proofErr w:type="spellStart"/>
      <w:r w:rsidRPr="00B27001">
        <w:rPr>
          <w:rFonts w:ascii="Times New Roman" w:hAnsi="Times New Roman" w:cs="Times New Roman"/>
        </w:rPr>
        <w:t>cond</w:t>
      </w:r>
      <w:proofErr w:type="spellEnd"/>
      <w:r w:rsidRPr="00B27001">
        <w:rPr>
          <w:rFonts w:ascii="Times New Roman" w:hAnsi="Times New Roman" w:cs="Times New Roman"/>
        </w:rPr>
        <w:t xml:space="preserve"> on reaction is </w:t>
      </w:r>
      <w:r w:rsidRPr="00B27001">
        <w:rPr>
          <w:rFonts w:ascii="Times New Roman" w:hAnsi="Times New Roman" w:cs="Times New Roman"/>
          <w:b/>
          <w:bCs/>
        </w:rPr>
        <w:t>not significant</w:t>
      </w:r>
      <w:r w:rsidRPr="00B27001">
        <w:rPr>
          <w:rFonts w:ascii="Times New Roman" w:hAnsi="Times New Roman" w:cs="Times New Roman"/>
        </w:rPr>
        <w:t xml:space="preserve"> (p = 0.6662), meaning the front-page placement </w:t>
      </w:r>
      <w:r w:rsidRPr="00B27001">
        <w:rPr>
          <w:rFonts w:ascii="Times New Roman" w:hAnsi="Times New Roman" w:cs="Times New Roman"/>
          <w:b/>
          <w:bCs/>
        </w:rPr>
        <w:t>does not directly affect purchase intention</w:t>
      </w:r>
      <w:r w:rsidRPr="00B27001">
        <w:rPr>
          <w:rFonts w:ascii="Times New Roman" w:hAnsi="Times New Roman" w:cs="Times New Roman"/>
        </w:rPr>
        <w:t>.</w:t>
      </w:r>
    </w:p>
    <w:p w14:paraId="50E3CBE4" w14:textId="77777777" w:rsidR="00B27001" w:rsidRPr="00B27001" w:rsidRDefault="00B27001" w:rsidP="00B27001">
      <w:p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pict w14:anchorId="6B652BB7">
          <v:rect id="_x0000_i1062" style="width:0;height:1.5pt" o:hralign="center" o:hrstd="t" o:hr="t" fillcolor="#a0a0a0" stroked="f"/>
        </w:pict>
      </w:r>
    </w:p>
    <w:p w14:paraId="4E11BDF9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Indirect Effects (Mediated Effects) of X on 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05"/>
        <w:gridCol w:w="876"/>
        <w:gridCol w:w="990"/>
        <w:gridCol w:w="1283"/>
        <w:gridCol w:w="1297"/>
      </w:tblGrid>
      <w:tr w:rsidR="00B27001" w:rsidRPr="00B27001" w14:paraId="1C380835" w14:textId="77777777" w:rsidTr="00A977A9">
        <w:tc>
          <w:tcPr>
            <w:tcW w:w="2205" w:type="dxa"/>
            <w:hideMark/>
          </w:tcPr>
          <w:p w14:paraId="19B1D2A0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Mediator</w:t>
            </w:r>
          </w:p>
        </w:tc>
        <w:tc>
          <w:tcPr>
            <w:tcW w:w="0" w:type="auto"/>
            <w:hideMark/>
          </w:tcPr>
          <w:p w14:paraId="55E9FD72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27001">
              <w:rPr>
                <w:rFonts w:ascii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hideMark/>
          </w:tcPr>
          <w:p w14:paraId="0CACD688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27001">
              <w:rPr>
                <w:rFonts w:ascii="Times New Roman" w:hAnsi="Times New Roman" w:cs="Times New Roman"/>
                <w:b/>
                <w:bCs/>
              </w:rPr>
              <w:t>BootSE</w:t>
            </w:r>
            <w:proofErr w:type="spellEnd"/>
          </w:p>
        </w:tc>
        <w:tc>
          <w:tcPr>
            <w:tcW w:w="0" w:type="auto"/>
            <w:hideMark/>
          </w:tcPr>
          <w:p w14:paraId="5DAEEA42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27001">
              <w:rPr>
                <w:rFonts w:ascii="Times New Roman" w:hAnsi="Times New Roman" w:cs="Times New Roman"/>
                <w:b/>
                <w:bCs/>
              </w:rPr>
              <w:t>BootLLCI</w:t>
            </w:r>
            <w:proofErr w:type="spellEnd"/>
          </w:p>
        </w:tc>
        <w:tc>
          <w:tcPr>
            <w:tcW w:w="0" w:type="auto"/>
            <w:hideMark/>
          </w:tcPr>
          <w:p w14:paraId="1A5DD16D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27001">
              <w:rPr>
                <w:rFonts w:ascii="Times New Roman" w:hAnsi="Times New Roman" w:cs="Times New Roman"/>
                <w:b/>
                <w:bCs/>
              </w:rPr>
              <w:t>BootULCI</w:t>
            </w:r>
            <w:proofErr w:type="spellEnd"/>
          </w:p>
        </w:tc>
      </w:tr>
      <w:tr w:rsidR="00B27001" w:rsidRPr="00B27001" w14:paraId="3AB9055A" w14:textId="77777777" w:rsidTr="00A977A9">
        <w:tc>
          <w:tcPr>
            <w:tcW w:w="2205" w:type="dxa"/>
            <w:hideMark/>
          </w:tcPr>
          <w:p w14:paraId="2C9FA947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Total Indirect Effect</w:t>
            </w:r>
          </w:p>
        </w:tc>
        <w:tc>
          <w:tcPr>
            <w:tcW w:w="0" w:type="auto"/>
            <w:hideMark/>
          </w:tcPr>
          <w:p w14:paraId="042DE256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0.3923</w:t>
            </w:r>
          </w:p>
        </w:tc>
        <w:tc>
          <w:tcPr>
            <w:tcW w:w="0" w:type="auto"/>
            <w:hideMark/>
          </w:tcPr>
          <w:p w14:paraId="6F50B30A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0.1655</w:t>
            </w:r>
          </w:p>
        </w:tc>
        <w:tc>
          <w:tcPr>
            <w:tcW w:w="0" w:type="auto"/>
            <w:hideMark/>
          </w:tcPr>
          <w:p w14:paraId="05F17083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0.0899</w:t>
            </w:r>
          </w:p>
        </w:tc>
        <w:tc>
          <w:tcPr>
            <w:tcW w:w="0" w:type="auto"/>
            <w:hideMark/>
          </w:tcPr>
          <w:p w14:paraId="1A75F808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0.7369</w:t>
            </w:r>
          </w:p>
        </w:tc>
      </w:tr>
      <w:tr w:rsidR="00B27001" w:rsidRPr="00B27001" w14:paraId="2E074E2F" w14:textId="77777777" w:rsidTr="00A977A9">
        <w:tc>
          <w:tcPr>
            <w:tcW w:w="2205" w:type="dxa"/>
            <w:hideMark/>
          </w:tcPr>
          <w:p w14:paraId="670F1B3E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PMI</w:t>
            </w:r>
          </w:p>
        </w:tc>
        <w:tc>
          <w:tcPr>
            <w:tcW w:w="0" w:type="auto"/>
            <w:hideMark/>
          </w:tcPr>
          <w:p w14:paraId="499519A7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0.1890</w:t>
            </w:r>
          </w:p>
        </w:tc>
        <w:tc>
          <w:tcPr>
            <w:tcW w:w="0" w:type="auto"/>
            <w:hideMark/>
          </w:tcPr>
          <w:p w14:paraId="7805E65E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0.1049</w:t>
            </w:r>
          </w:p>
        </w:tc>
        <w:tc>
          <w:tcPr>
            <w:tcW w:w="0" w:type="auto"/>
            <w:hideMark/>
          </w:tcPr>
          <w:p w14:paraId="1563A806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0.0039</w:t>
            </w:r>
          </w:p>
        </w:tc>
        <w:tc>
          <w:tcPr>
            <w:tcW w:w="0" w:type="auto"/>
            <w:hideMark/>
          </w:tcPr>
          <w:p w14:paraId="2B31BC08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0.4213</w:t>
            </w:r>
          </w:p>
        </w:tc>
      </w:tr>
      <w:tr w:rsidR="00B27001" w:rsidRPr="00B27001" w14:paraId="27730D1F" w14:textId="77777777" w:rsidTr="00A977A9">
        <w:tc>
          <w:tcPr>
            <w:tcW w:w="2205" w:type="dxa"/>
            <w:hideMark/>
          </w:tcPr>
          <w:p w14:paraId="694F1B4B" w14:textId="77777777" w:rsidR="00B27001" w:rsidRPr="00B27001" w:rsidRDefault="00B27001" w:rsidP="00B27001">
            <w:pPr>
              <w:pStyle w:val="NoSpacing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Import</w:t>
            </w:r>
          </w:p>
        </w:tc>
        <w:tc>
          <w:tcPr>
            <w:tcW w:w="0" w:type="auto"/>
            <w:hideMark/>
          </w:tcPr>
          <w:p w14:paraId="1AD6EB42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0.2033</w:t>
            </w:r>
          </w:p>
        </w:tc>
        <w:tc>
          <w:tcPr>
            <w:tcW w:w="0" w:type="auto"/>
            <w:hideMark/>
          </w:tcPr>
          <w:p w14:paraId="420C02BE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0.1138</w:t>
            </w:r>
          </w:p>
        </w:tc>
        <w:tc>
          <w:tcPr>
            <w:tcW w:w="0" w:type="auto"/>
            <w:hideMark/>
          </w:tcPr>
          <w:p w14:paraId="61D1FC9A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0.0055</w:t>
            </w:r>
          </w:p>
        </w:tc>
        <w:tc>
          <w:tcPr>
            <w:tcW w:w="0" w:type="auto"/>
            <w:hideMark/>
          </w:tcPr>
          <w:p w14:paraId="4FD48805" w14:textId="77777777" w:rsidR="00B27001" w:rsidRPr="00B27001" w:rsidRDefault="00B27001" w:rsidP="00B2700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B27001">
              <w:rPr>
                <w:rFonts w:ascii="Times New Roman" w:hAnsi="Times New Roman" w:cs="Times New Roman"/>
              </w:rPr>
              <w:t>0.4485</w:t>
            </w:r>
          </w:p>
        </w:tc>
      </w:tr>
    </w:tbl>
    <w:p w14:paraId="1F88EDA7" w14:textId="77777777" w:rsidR="00B27001" w:rsidRPr="00B27001" w:rsidRDefault="00B27001" w:rsidP="00B27001">
      <w:pPr>
        <w:spacing w:after="0"/>
        <w:rPr>
          <w:rFonts w:ascii="Times New Roman" w:hAnsi="Times New Roman" w:cs="Times New Roman"/>
        </w:rPr>
      </w:pPr>
    </w:p>
    <w:p w14:paraId="267E3890" w14:textId="77777777" w:rsidR="00B27001" w:rsidRPr="00B27001" w:rsidRDefault="00B27001" w:rsidP="00B27001">
      <w:pPr>
        <w:spacing w:after="0"/>
        <w:rPr>
          <w:rFonts w:ascii="Times New Roman" w:hAnsi="Times New Roman" w:cs="Times New Roman"/>
          <w:b/>
          <w:bCs/>
        </w:rPr>
      </w:pPr>
      <w:r w:rsidRPr="00B27001">
        <w:rPr>
          <w:rFonts w:ascii="Times New Roman" w:hAnsi="Times New Roman" w:cs="Times New Roman"/>
          <w:b/>
          <w:bCs/>
        </w:rPr>
        <w:t>Results</w:t>
      </w:r>
    </w:p>
    <w:p w14:paraId="6BCF4EA5" w14:textId="77777777" w:rsidR="00A977A9" w:rsidRDefault="00B27001" w:rsidP="00A977A9">
      <w:pPr>
        <w:spacing w:after="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 xml:space="preserve">A parallel mediation analysis was conducted using PROCESS Model 4 to examine whether the placement of an article (front-page vs. non-front-page) influenced intention to purchase sugar and whether this effect was mediated by presumed media influence (PMI) and perceived importance of the article (IMPORT). The model accounted for 32.51% of the variance in purchase intention (R² = 0.3251, </w:t>
      </w:r>
      <w:proofErr w:type="gramStart"/>
      <w:r w:rsidRPr="00B27001">
        <w:rPr>
          <w:rFonts w:ascii="Times New Roman" w:hAnsi="Times New Roman" w:cs="Times New Roman"/>
        </w:rPr>
        <w:t>F(</w:t>
      </w:r>
      <w:proofErr w:type="gramEnd"/>
      <w:r w:rsidRPr="00B27001">
        <w:rPr>
          <w:rFonts w:ascii="Times New Roman" w:hAnsi="Times New Roman" w:cs="Times New Roman"/>
        </w:rPr>
        <w:t>3, 119) = 19.11, p &lt; .001).</w:t>
      </w:r>
    </w:p>
    <w:p w14:paraId="3DDA1736" w14:textId="1B737361" w:rsidR="00B27001" w:rsidRPr="00B27001" w:rsidRDefault="00B27001" w:rsidP="00A977A9">
      <w:pPr>
        <w:spacing w:after="0"/>
        <w:ind w:firstLine="72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 xml:space="preserve">First, we examined whether article placement significantly predicted </w:t>
      </w:r>
      <w:r w:rsidR="00A977A9">
        <w:rPr>
          <w:rFonts w:ascii="Times New Roman" w:hAnsi="Times New Roman" w:cs="Times New Roman"/>
        </w:rPr>
        <w:t>presumed media influence and article importance</w:t>
      </w:r>
      <w:r w:rsidRPr="00B27001">
        <w:rPr>
          <w:rFonts w:ascii="Times New Roman" w:hAnsi="Times New Roman" w:cs="Times New Roman"/>
        </w:rPr>
        <w:t xml:space="preserve">. The effect of article placement on PMI was significant, with those in the front-page condition reporting higher levels of </w:t>
      </w:r>
      <w:r w:rsidR="00A977A9" w:rsidRPr="00B27001">
        <w:rPr>
          <w:rFonts w:ascii="Times New Roman" w:hAnsi="Times New Roman" w:cs="Times New Roman"/>
        </w:rPr>
        <w:t xml:space="preserve">PMI </w:t>
      </w:r>
      <w:r w:rsidRPr="00B27001">
        <w:rPr>
          <w:rFonts w:ascii="Times New Roman" w:hAnsi="Times New Roman" w:cs="Times New Roman"/>
        </w:rPr>
        <w:t xml:space="preserve">(β = 0.4765, SE = 0.2357, </w:t>
      </w:r>
      <w:proofErr w:type="gramStart"/>
      <w:r w:rsidRPr="00B27001">
        <w:rPr>
          <w:rFonts w:ascii="Times New Roman" w:hAnsi="Times New Roman" w:cs="Times New Roman"/>
        </w:rPr>
        <w:t>t(</w:t>
      </w:r>
      <w:proofErr w:type="gramEnd"/>
      <w:r w:rsidRPr="00B27001">
        <w:rPr>
          <w:rFonts w:ascii="Times New Roman" w:hAnsi="Times New Roman" w:cs="Times New Roman"/>
        </w:rPr>
        <w:t xml:space="preserve">121) = 2.02, p = 0.0454, 95% CI [0.0099, 0.9431]). Similarly, article placement had a significant effect on </w:t>
      </w:r>
      <w:r w:rsidR="00A977A9">
        <w:rPr>
          <w:rFonts w:ascii="Times New Roman" w:hAnsi="Times New Roman" w:cs="Times New Roman"/>
        </w:rPr>
        <w:t>article importance</w:t>
      </w:r>
      <w:r w:rsidRPr="00B27001">
        <w:rPr>
          <w:rFonts w:ascii="Times New Roman" w:hAnsi="Times New Roman" w:cs="Times New Roman"/>
        </w:rPr>
        <w:t xml:space="preserve">, </w:t>
      </w:r>
      <w:r w:rsidR="00A977A9">
        <w:rPr>
          <w:rFonts w:ascii="Times New Roman" w:hAnsi="Times New Roman" w:cs="Times New Roman"/>
        </w:rPr>
        <w:t>meaning that</w:t>
      </w:r>
      <w:r w:rsidRPr="00B27001">
        <w:rPr>
          <w:rFonts w:ascii="Times New Roman" w:hAnsi="Times New Roman" w:cs="Times New Roman"/>
        </w:rPr>
        <w:t xml:space="preserve"> participants in the front-page condition </w:t>
      </w:r>
      <w:r w:rsidR="00A977A9">
        <w:rPr>
          <w:rFonts w:ascii="Times New Roman" w:hAnsi="Times New Roman" w:cs="Times New Roman"/>
        </w:rPr>
        <w:t>perceived</w:t>
      </w:r>
      <w:r w:rsidRPr="00B27001">
        <w:rPr>
          <w:rFonts w:ascii="Times New Roman" w:hAnsi="Times New Roman" w:cs="Times New Roman"/>
        </w:rPr>
        <w:t xml:space="preserve"> the article as more important (β = 0.6268, SE = 0.3098, </w:t>
      </w:r>
      <w:proofErr w:type="gramStart"/>
      <w:r w:rsidRPr="00B27001">
        <w:rPr>
          <w:rFonts w:ascii="Times New Roman" w:hAnsi="Times New Roman" w:cs="Times New Roman"/>
        </w:rPr>
        <w:t>t(</w:t>
      </w:r>
      <w:proofErr w:type="gramEnd"/>
      <w:r w:rsidRPr="00B27001">
        <w:rPr>
          <w:rFonts w:ascii="Times New Roman" w:hAnsi="Times New Roman" w:cs="Times New Roman"/>
        </w:rPr>
        <w:t>121) = 2.02, p = 0.0452, 95% CI [0.0135, 1.2401]). These findings suggest that front-page placement increases perceived media influence and article importance, potentially affecting purchase intentions.</w:t>
      </w:r>
    </w:p>
    <w:p w14:paraId="72B93E11" w14:textId="7E608949" w:rsidR="00B27001" w:rsidRPr="00B27001" w:rsidRDefault="00B27001" w:rsidP="00A977A9">
      <w:pPr>
        <w:spacing w:after="0"/>
        <w:ind w:firstLine="72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 xml:space="preserve">Next, we assessed whether PMI and IMPORT significantly predicted purchase intention. Both mediators were significant predictors of purchase intention, with PMI positively influencing purchase intention (β = 0.3965, SE = 0.0930, </w:t>
      </w:r>
      <w:proofErr w:type="gramStart"/>
      <w:r w:rsidRPr="00B27001">
        <w:rPr>
          <w:rFonts w:ascii="Times New Roman" w:hAnsi="Times New Roman" w:cs="Times New Roman"/>
        </w:rPr>
        <w:t>t(</w:t>
      </w:r>
      <w:proofErr w:type="gramEnd"/>
      <w:r w:rsidRPr="00B27001">
        <w:rPr>
          <w:rFonts w:ascii="Times New Roman" w:hAnsi="Times New Roman" w:cs="Times New Roman"/>
        </w:rPr>
        <w:t>119) = 4.26, p &lt; .001, 95% CI [0.2124, 0.5806]) and IMPORT also having a significant positive effect (β = 0.3244, SE = 0.0707, t(119) = 4.59, p &lt; .001, 95% CI [0.1843, 0.4645]). These results indicate that higher perceived media influence and greater perceived article importance were both associated with stronger intentions to purchase sugar</w:t>
      </w:r>
      <w:r w:rsidR="00A977A9">
        <w:rPr>
          <w:rFonts w:ascii="Times New Roman" w:hAnsi="Times New Roman" w:cs="Times New Roman"/>
        </w:rPr>
        <w:t xml:space="preserve"> (in a manuscript I would use the </w:t>
      </w:r>
      <w:proofErr w:type="gramStart"/>
      <w:r w:rsidR="00A977A9">
        <w:rPr>
          <w:rFonts w:ascii="Times New Roman" w:hAnsi="Times New Roman" w:cs="Times New Roman"/>
        </w:rPr>
        <w:t>acronym</w:t>
      </w:r>
      <w:proofErr w:type="gramEnd"/>
      <w:r w:rsidR="00A977A9">
        <w:rPr>
          <w:rFonts w:ascii="Times New Roman" w:hAnsi="Times New Roman" w:cs="Times New Roman"/>
        </w:rPr>
        <w:t xml:space="preserve"> but I find this confusing so </w:t>
      </w:r>
      <w:proofErr w:type="spellStart"/>
      <w:r w:rsidR="00A977A9">
        <w:rPr>
          <w:rFonts w:ascii="Times New Roman" w:hAnsi="Times New Roman" w:cs="Times New Roman"/>
        </w:rPr>
        <w:t>its</w:t>
      </w:r>
      <w:proofErr w:type="spellEnd"/>
      <w:r w:rsidR="00A977A9">
        <w:rPr>
          <w:rFonts w:ascii="Times New Roman" w:hAnsi="Times New Roman" w:cs="Times New Roman"/>
        </w:rPr>
        <w:t xml:space="preserve"> better to spell it out)</w:t>
      </w:r>
      <w:r w:rsidRPr="00B27001">
        <w:rPr>
          <w:rFonts w:ascii="Times New Roman" w:hAnsi="Times New Roman" w:cs="Times New Roman"/>
        </w:rPr>
        <w:t>.</w:t>
      </w:r>
    </w:p>
    <w:p w14:paraId="402084E9" w14:textId="77777777" w:rsidR="00A977A9" w:rsidRDefault="00B27001" w:rsidP="00A977A9">
      <w:pPr>
        <w:spacing w:after="0"/>
        <w:ind w:firstLine="720"/>
        <w:rPr>
          <w:rFonts w:ascii="Times New Roman" w:hAnsi="Times New Roman" w:cs="Times New Roman"/>
        </w:rPr>
      </w:pPr>
      <w:r w:rsidRPr="00B27001">
        <w:rPr>
          <w:rFonts w:ascii="Times New Roman" w:hAnsi="Times New Roman" w:cs="Times New Roman"/>
        </w:rPr>
        <w:t xml:space="preserve">To formally test mediation, bootstrap confidence intervals for the indirect effects were examined using 5,000 bootstrap samples. The total indirect effect of article placement on purchase intention was significant (β = 0.3923, SE = 0.1655, 95% CI [0.0899, 0.7369]), indicating that mediation occurred. Specifically, the indirect effect via PMI was marginally </w:t>
      </w:r>
      <w:r w:rsidRPr="00B27001">
        <w:rPr>
          <w:rFonts w:ascii="Times New Roman" w:hAnsi="Times New Roman" w:cs="Times New Roman"/>
        </w:rPr>
        <w:lastRenderedPageBreak/>
        <w:t>significant (β = 0.1890, SE = 0.1049, 95% CI [0.0039, 0.4213]), whereas the indirect effect via IMPORT was significant (β = 0.2033, SE = 0.1138, 95% CI [0.0055, 0.4485]). These results suggest that the influence of article placement on purchase intention is fully mediated through perceptions of media influence and article importance.</w:t>
      </w:r>
      <w:r w:rsidR="00A977A9">
        <w:rPr>
          <w:rFonts w:ascii="Times New Roman" w:hAnsi="Times New Roman" w:cs="Times New Roman"/>
        </w:rPr>
        <w:t xml:space="preserve"> </w:t>
      </w:r>
      <w:r w:rsidR="00A977A9" w:rsidRPr="00B27001">
        <w:rPr>
          <w:rFonts w:ascii="Times New Roman" w:hAnsi="Times New Roman" w:cs="Times New Roman"/>
        </w:rPr>
        <w:t xml:space="preserve">Despite these significant mediation effects, the direct effect of article placement on purchase intention was not significant (β = 0.1034, SE = 0.2391, </w:t>
      </w:r>
      <w:proofErr w:type="gramStart"/>
      <w:r w:rsidR="00A977A9" w:rsidRPr="00B27001">
        <w:rPr>
          <w:rFonts w:ascii="Times New Roman" w:hAnsi="Times New Roman" w:cs="Times New Roman"/>
        </w:rPr>
        <w:t>t(</w:t>
      </w:r>
      <w:proofErr w:type="gramEnd"/>
      <w:r w:rsidR="00A977A9" w:rsidRPr="00B27001">
        <w:rPr>
          <w:rFonts w:ascii="Times New Roman" w:hAnsi="Times New Roman" w:cs="Times New Roman"/>
        </w:rPr>
        <w:t xml:space="preserve">119) = 0.4324, p = 0.6662, 95% CI [-0.3701, 0.5768]). This suggests that article placement does not directly impact purchase intention but </w:t>
      </w:r>
      <w:r w:rsidR="00A977A9">
        <w:rPr>
          <w:rFonts w:ascii="Times New Roman" w:hAnsi="Times New Roman" w:cs="Times New Roman"/>
        </w:rPr>
        <w:t>rather the mechanism linking the article’s placement to intention to buy operates through the articles presumed influence and importance (an interesting result, at least if you are a political science or business major)</w:t>
      </w:r>
      <w:r w:rsidR="00A977A9" w:rsidRPr="00B27001">
        <w:rPr>
          <w:rFonts w:ascii="Times New Roman" w:hAnsi="Times New Roman" w:cs="Times New Roman"/>
        </w:rPr>
        <w:t>.</w:t>
      </w:r>
    </w:p>
    <w:p w14:paraId="563F8AE1" w14:textId="3A97ADD8" w:rsidR="00B27001" w:rsidRPr="00B27001" w:rsidRDefault="00B27001" w:rsidP="00A977A9">
      <w:pPr>
        <w:spacing w:after="0"/>
        <w:ind w:firstLine="720"/>
        <w:rPr>
          <w:rFonts w:ascii="Times New Roman" w:hAnsi="Times New Roman" w:cs="Times New Roman"/>
        </w:rPr>
      </w:pPr>
    </w:p>
    <w:p w14:paraId="5CF02DCB" w14:textId="77777777" w:rsidR="00B27001" w:rsidRPr="00B27001" w:rsidRDefault="00B27001" w:rsidP="00B27001">
      <w:pPr>
        <w:spacing w:after="0"/>
        <w:rPr>
          <w:rFonts w:ascii="Times New Roman" w:hAnsi="Times New Roman" w:cs="Times New Roman"/>
        </w:rPr>
      </w:pPr>
    </w:p>
    <w:sectPr w:rsidR="00B27001" w:rsidRPr="00B2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1291C"/>
    <w:multiLevelType w:val="multilevel"/>
    <w:tmpl w:val="B91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94570"/>
    <w:multiLevelType w:val="multilevel"/>
    <w:tmpl w:val="4F3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D4394"/>
    <w:multiLevelType w:val="multilevel"/>
    <w:tmpl w:val="9A9C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93B20"/>
    <w:multiLevelType w:val="multilevel"/>
    <w:tmpl w:val="1614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44F74"/>
    <w:multiLevelType w:val="multilevel"/>
    <w:tmpl w:val="942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F7608"/>
    <w:multiLevelType w:val="multilevel"/>
    <w:tmpl w:val="D22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B040E"/>
    <w:multiLevelType w:val="multilevel"/>
    <w:tmpl w:val="6CB25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70A65"/>
    <w:multiLevelType w:val="hybridMultilevel"/>
    <w:tmpl w:val="0CE2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D07A1"/>
    <w:multiLevelType w:val="multilevel"/>
    <w:tmpl w:val="B046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A7910"/>
    <w:multiLevelType w:val="multilevel"/>
    <w:tmpl w:val="5E5A2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94AAA"/>
    <w:multiLevelType w:val="multilevel"/>
    <w:tmpl w:val="5AD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956637">
    <w:abstractNumId w:val="9"/>
  </w:num>
  <w:num w:numId="2" w16cid:durableId="1247879751">
    <w:abstractNumId w:val="3"/>
  </w:num>
  <w:num w:numId="3" w16cid:durableId="1426422622">
    <w:abstractNumId w:val="8"/>
  </w:num>
  <w:num w:numId="4" w16cid:durableId="2043478120">
    <w:abstractNumId w:val="1"/>
  </w:num>
  <w:num w:numId="5" w16cid:durableId="465976968">
    <w:abstractNumId w:val="0"/>
  </w:num>
  <w:num w:numId="6" w16cid:durableId="497233505">
    <w:abstractNumId w:val="2"/>
  </w:num>
  <w:num w:numId="7" w16cid:durableId="2071346654">
    <w:abstractNumId w:val="6"/>
  </w:num>
  <w:num w:numId="8" w16cid:durableId="1247301420">
    <w:abstractNumId w:val="10"/>
  </w:num>
  <w:num w:numId="9" w16cid:durableId="1607737551">
    <w:abstractNumId w:val="7"/>
  </w:num>
  <w:num w:numId="10" w16cid:durableId="2010983597">
    <w:abstractNumId w:val="5"/>
  </w:num>
  <w:num w:numId="11" w16cid:durableId="282032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01"/>
    <w:rsid w:val="0006129C"/>
    <w:rsid w:val="00A75114"/>
    <w:rsid w:val="00A977A9"/>
    <w:rsid w:val="00B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8C426"/>
  <w15:chartTrackingRefBased/>
  <w15:docId w15:val="{6BA72019-9BF5-4380-8F6A-2EC0927C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01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B270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27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1017</Words>
  <Characters>5677</Characters>
  <Application>Microsoft Office Word</Application>
  <DocSecurity>0</DocSecurity>
  <Lines>246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Barboza-Salerno, Gia</dc:creator>
  <cp:keywords/>
  <dc:description/>
  <cp:lastModifiedBy>Barboza-Salerno, Gia</cp:lastModifiedBy>
  <cp:revision>2</cp:revision>
  <dcterms:created xsi:type="dcterms:W3CDTF">2025-03-16T13:57:00Z</dcterms:created>
  <dcterms:modified xsi:type="dcterms:W3CDTF">2025-03-16T14:15:00Z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a8941ae7-b020-4083-9756-8af49b48d0b3</vt:lpwstr>
  </property>
</Properties>
</file>