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Lines="50" w:afterLines="50" w:line="360" w:lineRule="auto"/>
        <w:jc w:val="center"/>
        <w:rPr>
          <w:b/>
          <w:bCs/>
          <w:sz w:val="36"/>
          <w:szCs w:val="36"/>
        </w:rPr>
      </w:pPr>
      <w:r>
        <w:rPr>
          <w:rFonts w:hint="eastAsia"/>
          <w:b/>
          <w:bCs/>
          <w:sz w:val="36"/>
          <w:szCs w:val="36"/>
        </w:rPr>
        <w:t>风险控制</w:t>
      </w:r>
      <w:r>
        <w:rPr>
          <w:rFonts w:hint="eastAsia"/>
          <w:b/>
          <w:bCs/>
          <w:sz w:val="36"/>
          <w:szCs w:val="36"/>
          <w:lang w:val="en-US" w:eastAsia="zh-CN"/>
        </w:rPr>
        <w:t>管理规则</w:t>
      </w:r>
    </w:p>
    <w:p>
      <w:pPr>
        <w:spacing w:beforeLines="50" w:afterLines="50" w:line="360" w:lineRule="auto"/>
        <w:ind w:firstLine="480" w:firstLineChars="200"/>
        <w:rPr>
          <w:sz w:val="24"/>
          <w:szCs w:val="24"/>
        </w:rPr>
      </w:pPr>
      <w:r>
        <w:rPr>
          <w:rFonts w:hint="eastAsia"/>
          <w:sz w:val="24"/>
          <w:szCs w:val="24"/>
        </w:rPr>
        <w:t>我司风险控制</w:t>
      </w:r>
      <w:r>
        <w:rPr>
          <w:rFonts w:hint="eastAsia"/>
          <w:sz w:val="24"/>
          <w:szCs w:val="24"/>
          <w:lang w:val="en-US" w:eastAsia="zh-CN"/>
        </w:rPr>
        <w:t>管理规则</w:t>
      </w:r>
      <w:r>
        <w:rPr>
          <w:rFonts w:hint="eastAsia"/>
          <w:sz w:val="24"/>
          <w:szCs w:val="24"/>
        </w:rPr>
        <w:t>主要是由交易监控、拒付规避及调单拒付处理三大部分组成的。其中交易监控中的交易规则设置、黑名单设置等为事前处理部分；交易监控中的交易监控及可疑交易处理及规避拒付采取的措施则为主要的事中处理部分，此部分也是关系到后期拒付的重点；调单及拒付的配合则为事后处理部分。</w:t>
      </w:r>
    </w:p>
    <w:p>
      <w:pPr>
        <w:spacing w:beforeLines="50" w:afterLines="50" w:line="360" w:lineRule="auto"/>
        <w:rPr>
          <w:b/>
          <w:sz w:val="36"/>
          <w:szCs w:val="36"/>
        </w:rPr>
      </w:pPr>
      <w:r>
        <w:rPr>
          <w:rFonts w:hint="eastAsia"/>
          <w:b/>
          <w:sz w:val="36"/>
          <w:szCs w:val="36"/>
        </w:rPr>
        <w:t>1.交易监控</w:t>
      </w:r>
      <w:bookmarkStart w:id="0" w:name="_GoBack"/>
      <w:bookmarkEnd w:id="0"/>
    </w:p>
    <w:p>
      <w:pPr>
        <w:spacing w:beforeLines="50" w:afterLines="50" w:line="360" w:lineRule="auto"/>
        <w:rPr>
          <w:b/>
          <w:sz w:val="28"/>
          <w:szCs w:val="28"/>
        </w:rPr>
      </w:pPr>
      <w:r>
        <w:rPr>
          <w:rFonts w:hint="eastAsia"/>
          <w:b/>
          <w:sz w:val="28"/>
          <w:szCs w:val="28"/>
        </w:rPr>
        <w:t>1.1交易规则设置</w:t>
      </w:r>
    </w:p>
    <w:p>
      <w:pPr>
        <w:spacing w:beforeLines="50" w:afterLines="50" w:line="360" w:lineRule="auto"/>
        <w:rPr>
          <w:sz w:val="24"/>
          <w:szCs w:val="24"/>
        </w:rPr>
      </w:pPr>
      <w:r>
        <w:rPr>
          <w:rFonts w:hint="eastAsia"/>
          <w:sz w:val="24"/>
          <w:szCs w:val="24"/>
        </w:rPr>
        <w:t>为防止持卡人恶意支付以及盗卡、伪卡交易，我司在交易中设立了一系列交易规则。由于我司无法取得持卡人卡片信息，所以在支付过程中针对持卡人的其他信息进行了限制。</w:t>
      </w:r>
    </w:p>
    <w:p>
      <w:pPr>
        <w:pStyle w:val="6"/>
        <w:numPr>
          <w:ilvl w:val="0"/>
          <w:numId w:val="1"/>
        </w:numPr>
        <w:spacing w:beforeLines="50" w:afterLines="50" w:line="360" w:lineRule="auto"/>
        <w:ind w:firstLineChars="0"/>
        <w:rPr>
          <w:sz w:val="24"/>
          <w:szCs w:val="24"/>
        </w:rPr>
      </w:pPr>
      <w:r>
        <w:rPr>
          <w:rFonts w:hint="eastAsia"/>
          <w:sz w:val="24"/>
          <w:szCs w:val="24"/>
        </w:rPr>
        <w:t>针对同一IP，每日交易次数不得超过5次</w:t>
      </w:r>
    </w:p>
    <w:p>
      <w:pPr>
        <w:pStyle w:val="6"/>
        <w:numPr>
          <w:ilvl w:val="0"/>
          <w:numId w:val="1"/>
        </w:numPr>
        <w:spacing w:beforeLines="50" w:afterLines="50" w:line="360" w:lineRule="auto"/>
        <w:ind w:firstLineChars="0"/>
        <w:rPr>
          <w:sz w:val="24"/>
          <w:szCs w:val="24"/>
        </w:rPr>
      </w:pPr>
      <w:r>
        <w:rPr>
          <w:rFonts w:hint="eastAsia"/>
          <w:sz w:val="24"/>
          <w:szCs w:val="24"/>
        </w:rPr>
        <w:t>针对同一邮箱，每日交易次数不得超过5次</w:t>
      </w:r>
    </w:p>
    <w:p>
      <w:pPr>
        <w:pStyle w:val="6"/>
        <w:numPr>
          <w:ilvl w:val="0"/>
          <w:numId w:val="1"/>
        </w:numPr>
        <w:spacing w:beforeLines="50" w:afterLines="50" w:line="360" w:lineRule="auto"/>
        <w:ind w:firstLineChars="0"/>
        <w:rPr>
          <w:sz w:val="24"/>
          <w:szCs w:val="24"/>
        </w:rPr>
      </w:pPr>
      <w:r>
        <w:rPr>
          <w:rFonts w:hint="eastAsia"/>
          <w:sz w:val="24"/>
          <w:szCs w:val="24"/>
        </w:rPr>
        <w:t>针对同一电话，每日交易次数不得超过5次</w:t>
      </w:r>
    </w:p>
    <w:p>
      <w:pPr>
        <w:pStyle w:val="6"/>
        <w:numPr>
          <w:ilvl w:val="0"/>
          <w:numId w:val="1"/>
        </w:numPr>
        <w:spacing w:beforeLines="50" w:afterLines="50" w:line="360" w:lineRule="auto"/>
        <w:ind w:firstLineChars="0"/>
        <w:rPr>
          <w:sz w:val="24"/>
          <w:szCs w:val="24"/>
        </w:rPr>
      </w:pPr>
      <w:r>
        <w:rPr>
          <w:rFonts w:hint="eastAsia"/>
          <w:sz w:val="24"/>
          <w:szCs w:val="24"/>
        </w:rPr>
        <w:t>针对同一收货人姓名，每日交易次数不得超过5次</w:t>
      </w:r>
    </w:p>
    <w:p>
      <w:pPr>
        <w:pStyle w:val="6"/>
        <w:numPr>
          <w:ilvl w:val="0"/>
          <w:numId w:val="1"/>
        </w:numPr>
        <w:spacing w:beforeLines="50" w:afterLines="50" w:line="360" w:lineRule="auto"/>
        <w:ind w:firstLineChars="0"/>
        <w:rPr>
          <w:sz w:val="24"/>
          <w:szCs w:val="24"/>
        </w:rPr>
      </w:pPr>
      <w:r>
        <w:rPr>
          <w:rFonts w:hint="eastAsia"/>
          <w:sz w:val="24"/>
          <w:szCs w:val="24"/>
        </w:rPr>
        <w:t>针对同一收货地址，每日交易次数不得超过5次</w:t>
      </w:r>
    </w:p>
    <w:p>
      <w:pPr>
        <w:pStyle w:val="6"/>
        <w:numPr>
          <w:ilvl w:val="0"/>
          <w:numId w:val="1"/>
        </w:numPr>
        <w:spacing w:beforeLines="50" w:afterLines="50" w:line="360" w:lineRule="auto"/>
        <w:ind w:firstLineChars="0"/>
        <w:rPr>
          <w:sz w:val="24"/>
          <w:szCs w:val="24"/>
        </w:rPr>
      </w:pPr>
      <w:r>
        <w:rPr>
          <w:rFonts w:hint="eastAsia"/>
          <w:sz w:val="24"/>
          <w:szCs w:val="24"/>
        </w:rPr>
        <w:t>同一IP一小时内提交5笔未付款订单，则该IP当天无法进行交易</w:t>
      </w:r>
    </w:p>
    <w:p>
      <w:pPr>
        <w:pStyle w:val="6"/>
        <w:numPr>
          <w:ilvl w:val="0"/>
          <w:numId w:val="1"/>
        </w:numPr>
        <w:spacing w:beforeLines="50" w:afterLines="50" w:line="360" w:lineRule="auto"/>
        <w:ind w:firstLineChars="0"/>
        <w:rPr>
          <w:sz w:val="24"/>
          <w:szCs w:val="24"/>
        </w:rPr>
      </w:pPr>
      <w:r>
        <w:rPr>
          <w:rFonts w:hint="eastAsia"/>
          <w:sz w:val="24"/>
          <w:szCs w:val="24"/>
        </w:rPr>
        <w:t>同一邮箱地址一小时内提交5笔未付款订单，则该邮箱当天无法进行交易</w:t>
      </w:r>
    </w:p>
    <w:p>
      <w:pPr>
        <w:pStyle w:val="6"/>
        <w:numPr>
          <w:ilvl w:val="0"/>
          <w:numId w:val="1"/>
        </w:numPr>
        <w:spacing w:beforeLines="50" w:afterLines="50" w:line="360" w:lineRule="auto"/>
        <w:ind w:firstLineChars="0"/>
        <w:rPr>
          <w:sz w:val="24"/>
          <w:szCs w:val="24"/>
        </w:rPr>
      </w:pPr>
      <w:r>
        <w:rPr>
          <w:rFonts w:hint="eastAsia"/>
          <w:sz w:val="24"/>
          <w:szCs w:val="24"/>
        </w:rPr>
        <w:t>同一电话一小时内提交5笔未付款订单，则该电话当天无法进行交易</w:t>
      </w:r>
    </w:p>
    <w:p>
      <w:pPr>
        <w:spacing w:beforeLines="50" w:afterLines="50" w:line="360" w:lineRule="auto"/>
        <w:rPr>
          <w:b/>
          <w:sz w:val="28"/>
          <w:szCs w:val="28"/>
        </w:rPr>
      </w:pPr>
      <w:r>
        <w:rPr>
          <w:rFonts w:hint="eastAsia"/>
          <w:b/>
          <w:sz w:val="28"/>
          <w:szCs w:val="28"/>
        </w:rPr>
        <w:t>1.2交易监控及可疑交易处理</w:t>
      </w:r>
    </w:p>
    <w:p>
      <w:pPr>
        <w:pStyle w:val="6"/>
        <w:spacing w:beforeLines="50" w:afterLines="50" w:line="360" w:lineRule="auto"/>
        <w:ind w:left="360" w:firstLine="0" w:firstLineChars="0"/>
        <w:rPr>
          <w:sz w:val="24"/>
          <w:szCs w:val="24"/>
        </w:rPr>
      </w:pPr>
      <w:r>
        <w:rPr>
          <w:rFonts w:hint="eastAsia"/>
          <w:sz w:val="24"/>
          <w:szCs w:val="24"/>
        </w:rPr>
        <w:t>交易监控中出现的可疑交易需人工审核并邮件与持卡人确认，以保证交易的真实性，以此有效减少后期拒付的发生。</w:t>
      </w:r>
    </w:p>
    <w:p>
      <w:pPr>
        <w:pStyle w:val="6"/>
        <w:spacing w:beforeLines="50" w:afterLines="50" w:line="360" w:lineRule="auto"/>
        <w:ind w:left="360" w:firstLine="0" w:firstLineChars="0"/>
        <w:rPr>
          <w:sz w:val="24"/>
          <w:szCs w:val="24"/>
        </w:rPr>
      </w:pPr>
      <w:r>
        <w:rPr>
          <w:rFonts w:hint="eastAsia"/>
          <w:sz w:val="24"/>
          <w:szCs w:val="24"/>
        </w:rPr>
        <w:t>目前主要的情况包括以下方面：</w:t>
      </w:r>
    </w:p>
    <w:p>
      <w:pPr>
        <w:pStyle w:val="6"/>
        <w:numPr>
          <w:ilvl w:val="0"/>
          <w:numId w:val="2"/>
        </w:numPr>
        <w:spacing w:beforeLines="50" w:afterLines="50" w:line="360" w:lineRule="auto"/>
        <w:ind w:firstLineChars="0"/>
        <w:rPr>
          <w:sz w:val="24"/>
          <w:szCs w:val="24"/>
        </w:rPr>
      </w:pPr>
      <w:r>
        <w:rPr>
          <w:rFonts w:hint="eastAsia"/>
          <w:sz w:val="24"/>
          <w:szCs w:val="24"/>
        </w:rPr>
        <w:t>若IP地址与收件人地址非同一国家，则交易进入人工审核，需邮件联系持卡人确认</w:t>
      </w:r>
    </w:p>
    <w:p>
      <w:pPr>
        <w:pStyle w:val="6"/>
        <w:numPr>
          <w:ilvl w:val="0"/>
          <w:numId w:val="2"/>
        </w:numPr>
        <w:spacing w:beforeLines="50" w:afterLines="50" w:line="360" w:lineRule="auto"/>
        <w:ind w:firstLineChars="0"/>
        <w:rPr>
          <w:sz w:val="24"/>
          <w:szCs w:val="24"/>
        </w:rPr>
      </w:pPr>
      <w:r>
        <w:rPr>
          <w:rFonts w:hint="eastAsia"/>
          <w:sz w:val="24"/>
          <w:szCs w:val="24"/>
        </w:rPr>
        <w:t>若同一收货人对应多个收货地址，则交易进入人工审核，需邮件联系持卡人确认</w:t>
      </w:r>
    </w:p>
    <w:p>
      <w:pPr>
        <w:spacing w:beforeLines="50" w:afterLines="50" w:line="360" w:lineRule="auto"/>
        <w:rPr>
          <w:b/>
          <w:sz w:val="28"/>
          <w:szCs w:val="28"/>
        </w:rPr>
      </w:pPr>
      <w:r>
        <w:rPr>
          <w:rFonts w:hint="eastAsia"/>
          <w:b/>
          <w:sz w:val="28"/>
          <w:szCs w:val="28"/>
        </w:rPr>
        <w:t>1.3黑名单设置</w:t>
      </w:r>
    </w:p>
    <w:p>
      <w:pPr>
        <w:pStyle w:val="6"/>
        <w:numPr>
          <w:ilvl w:val="0"/>
          <w:numId w:val="3"/>
        </w:numPr>
        <w:spacing w:beforeLines="50" w:afterLines="50" w:line="360" w:lineRule="auto"/>
        <w:ind w:firstLineChars="0"/>
        <w:rPr>
          <w:sz w:val="24"/>
          <w:szCs w:val="24"/>
        </w:rPr>
      </w:pPr>
      <w:r>
        <w:rPr>
          <w:rFonts w:hint="eastAsia"/>
          <w:sz w:val="24"/>
          <w:szCs w:val="24"/>
        </w:rPr>
        <w:t>针对已拒付交易的收货人姓名、收货地址、邮箱、电话进行黑名单设置</w:t>
      </w:r>
    </w:p>
    <w:p>
      <w:pPr>
        <w:pStyle w:val="6"/>
        <w:numPr>
          <w:ilvl w:val="0"/>
          <w:numId w:val="3"/>
        </w:numPr>
        <w:spacing w:beforeLines="50" w:afterLines="50" w:line="360" w:lineRule="auto"/>
        <w:ind w:firstLineChars="0"/>
        <w:rPr>
          <w:sz w:val="24"/>
          <w:szCs w:val="24"/>
        </w:rPr>
      </w:pPr>
      <w:r>
        <w:rPr>
          <w:rFonts w:hint="eastAsia"/>
          <w:sz w:val="24"/>
          <w:szCs w:val="24"/>
        </w:rPr>
        <w:t>针对频繁生成订单但未支付的邮箱、电话、收货人姓名、收货人地址进行黑名单设置</w:t>
      </w:r>
    </w:p>
    <w:p>
      <w:pPr>
        <w:spacing w:beforeLines="50" w:afterLines="50" w:line="360" w:lineRule="auto"/>
        <w:rPr>
          <w:b/>
          <w:sz w:val="36"/>
          <w:szCs w:val="36"/>
        </w:rPr>
      </w:pPr>
      <w:r>
        <w:rPr>
          <w:rFonts w:hint="eastAsia"/>
          <w:b/>
          <w:sz w:val="36"/>
          <w:szCs w:val="36"/>
        </w:rPr>
        <w:t>2. 规避拒付的措施</w:t>
      </w:r>
    </w:p>
    <w:p>
      <w:pPr>
        <w:pStyle w:val="6"/>
        <w:numPr>
          <w:ilvl w:val="0"/>
          <w:numId w:val="4"/>
        </w:numPr>
        <w:spacing w:beforeLines="50" w:afterLines="50" w:line="360" w:lineRule="auto"/>
        <w:ind w:firstLineChars="0"/>
        <w:rPr>
          <w:sz w:val="24"/>
          <w:szCs w:val="24"/>
        </w:rPr>
      </w:pPr>
      <w:r>
        <w:rPr>
          <w:rFonts w:hint="eastAsia"/>
          <w:sz w:val="24"/>
          <w:szCs w:val="24"/>
        </w:rPr>
        <w:t>定期维护网站，及时维护下线商品，避免因网站变成无效链接而引发的拒付</w:t>
      </w:r>
    </w:p>
    <w:p>
      <w:pPr>
        <w:pStyle w:val="6"/>
        <w:numPr>
          <w:ilvl w:val="0"/>
          <w:numId w:val="5"/>
        </w:numPr>
        <w:spacing w:beforeLines="50" w:afterLines="50" w:line="360" w:lineRule="auto"/>
        <w:ind w:firstLineChars="0"/>
        <w:rPr>
          <w:sz w:val="24"/>
          <w:szCs w:val="24"/>
        </w:rPr>
      </w:pPr>
      <w:r>
        <w:rPr>
          <w:rFonts w:hint="eastAsia"/>
          <w:sz w:val="24"/>
          <w:szCs w:val="24"/>
        </w:rPr>
        <w:t>在网站明显位置标注联系方式，在交易过程中，取得持卡人的联系方式及邮箱住址。并在交易完成及发货后，主动发送确认邮件。并应有专人处理持卡人的投诉邮件</w:t>
      </w:r>
    </w:p>
    <w:p>
      <w:pPr>
        <w:pStyle w:val="6"/>
        <w:numPr>
          <w:ilvl w:val="0"/>
          <w:numId w:val="6"/>
        </w:numPr>
        <w:spacing w:beforeLines="50" w:afterLines="50" w:line="360" w:lineRule="auto"/>
        <w:ind w:firstLineChars="0"/>
        <w:rPr>
          <w:sz w:val="24"/>
          <w:szCs w:val="24"/>
        </w:rPr>
      </w:pPr>
      <w:r>
        <w:rPr>
          <w:rFonts w:hint="eastAsia"/>
          <w:sz w:val="24"/>
          <w:szCs w:val="24"/>
        </w:rPr>
        <w:t>3个工作日内发货并通知顾客发货信息，避免因货物延迟而引发的拒付</w:t>
      </w:r>
    </w:p>
    <w:p>
      <w:pPr>
        <w:pStyle w:val="6"/>
        <w:numPr>
          <w:ilvl w:val="0"/>
          <w:numId w:val="7"/>
        </w:numPr>
        <w:spacing w:beforeLines="50" w:afterLines="50" w:line="360" w:lineRule="auto"/>
        <w:ind w:firstLineChars="0"/>
        <w:rPr>
          <w:sz w:val="24"/>
          <w:szCs w:val="24"/>
        </w:rPr>
      </w:pPr>
      <w:r>
        <w:rPr>
          <w:rFonts w:hint="eastAsia"/>
          <w:sz w:val="24"/>
          <w:szCs w:val="24"/>
        </w:rPr>
        <w:t>网站上应有详细的商品说明，标明可能有的差异（如提醒用户色差、尺码问题），并在订单支付前再度提醒，并要求持卡人确认。严格把控货物质量并在发货前进行检查，网站图片与实物一致，避免因图片与实物不符而引发交易纠纷</w:t>
      </w:r>
    </w:p>
    <w:p>
      <w:pPr>
        <w:pStyle w:val="6"/>
        <w:numPr>
          <w:ilvl w:val="0"/>
          <w:numId w:val="8"/>
        </w:numPr>
        <w:spacing w:beforeLines="50" w:afterLines="50" w:line="360" w:lineRule="auto"/>
        <w:ind w:firstLineChars="0"/>
        <w:rPr>
          <w:sz w:val="24"/>
          <w:szCs w:val="24"/>
        </w:rPr>
      </w:pPr>
      <w:r>
        <w:rPr>
          <w:rFonts w:hint="eastAsia"/>
          <w:sz w:val="24"/>
          <w:szCs w:val="24"/>
        </w:rPr>
        <w:t>结算时需标注交易款项及运费等信息，持卡人需最后确认后方可付款，避免因扣款金额与商品标价不符而引发的拒付</w:t>
      </w:r>
    </w:p>
    <w:p>
      <w:pPr>
        <w:spacing w:beforeLines="50" w:afterLines="50" w:line="360" w:lineRule="auto"/>
        <w:rPr>
          <w:b/>
          <w:sz w:val="36"/>
          <w:szCs w:val="36"/>
        </w:rPr>
      </w:pPr>
      <w:r>
        <w:rPr>
          <w:rFonts w:hint="eastAsia"/>
          <w:b/>
          <w:sz w:val="36"/>
          <w:szCs w:val="36"/>
        </w:rPr>
        <w:t>3.调单及拒付配合</w:t>
      </w:r>
    </w:p>
    <w:p>
      <w:pPr>
        <w:spacing w:beforeLines="50" w:afterLines="50" w:line="360" w:lineRule="auto"/>
        <w:rPr>
          <w:sz w:val="24"/>
          <w:szCs w:val="24"/>
        </w:rPr>
      </w:pPr>
      <w:r>
        <w:rPr>
          <w:rFonts w:hint="eastAsia"/>
          <w:sz w:val="24"/>
          <w:szCs w:val="24"/>
        </w:rPr>
        <w:t>针对银行或第三方支付机构的调单及拒付请求，我司有如下处理流程：</w:t>
      </w:r>
    </w:p>
    <w:p>
      <w:pPr>
        <w:spacing w:beforeLines="50" w:afterLines="50" w:line="360" w:lineRule="auto"/>
        <w:rPr>
          <w:b/>
          <w:sz w:val="28"/>
          <w:szCs w:val="28"/>
        </w:rPr>
      </w:pPr>
      <w:r>
        <w:rPr>
          <w:rFonts w:hint="eastAsia"/>
          <w:b/>
          <w:sz w:val="28"/>
          <w:szCs w:val="28"/>
        </w:rPr>
        <w:t>3.1调单处理流程</w:t>
      </w:r>
    </w:p>
    <w:p>
      <w:pPr>
        <w:spacing w:beforeLines="50" w:afterLines="50" w:line="360" w:lineRule="auto"/>
        <w:rPr>
          <w:b/>
          <w:sz w:val="24"/>
          <w:szCs w:val="24"/>
        </w:rPr>
      </w:pPr>
      <w:r>
        <w:rPr>
          <w:rFonts w:hint="eastAsia"/>
          <w:sz w:val="24"/>
          <w:szCs w:val="24"/>
        </w:rPr>
        <w:t>3.1.1查询并调取交易信息</w:t>
      </w:r>
    </w:p>
    <w:p>
      <w:pPr>
        <w:spacing w:beforeLines="50" w:afterLines="50" w:line="360" w:lineRule="auto"/>
        <w:ind w:firstLine="480" w:firstLineChars="200"/>
        <w:rPr>
          <w:sz w:val="24"/>
          <w:szCs w:val="24"/>
        </w:rPr>
      </w:pPr>
      <w:r>
        <w:rPr>
          <w:rFonts w:hint="eastAsia"/>
          <w:sz w:val="24"/>
          <w:szCs w:val="24"/>
        </w:rPr>
        <w:t>将调单所需信息发送调单机构，包含但不限于订购商品信息、收货人信息、商品物流信息等</w:t>
      </w:r>
    </w:p>
    <w:p>
      <w:pPr>
        <w:spacing w:beforeLines="50" w:afterLines="50" w:line="360" w:lineRule="auto"/>
        <w:rPr>
          <w:sz w:val="24"/>
          <w:szCs w:val="24"/>
        </w:rPr>
      </w:pPr>
      <w:r>
        <w:rPr>
          <w:rFonts w:hint="eastAsia"/>
          <w:sz w:val="24"/>
          <w:szCs w:val="24"/>
        </w:rPr>
        <w:t>3.1.2 联系持卡人了解调单原因</w:t>
      </w:r>
    </w:p>
    <w:p>
      <w:pPr>
        <w:spacing w:beforeLines="50" w:afterLines="50" w:line="360" w:lineRule="auto"/>
        <w:ind w:firstLine="360" w:firstLineChars="150"/>
        <w:rPr>
          <w:sz w:val="24"/>
          <w:szCs w:val="24"/>
        </w:rPr>
      </w:pPr>
      <w:r>
        <w:rPr>
          <w:rFonts w:hint="eastAsia"/>
          <w:sz w:val="24"/>
          <w:szCs w:val="24"/>
        </w:rPr>
        <w:t>针对持卡人调单的不同原因采取不同措施。如因商品未收到调单，则协助查询订单信息或补发货物；如因商品质量问题，则请持卡人参考网站的退换货流程进行退换货操作等</w:t>
      </w:r>
    </w:p>
    <w:p>
      <w:pPr>
        <w:spacing w:beforeLines="50" w:afterLines="50" w:line="360" w:lineRule="auto"/>
        <w:rPr>
          <w:b/>
          <w:sz w:val="28"/>
          <w:szCs w:val="28"/>
        </w:rPr>
      </w:pPr>
      <w:r>
        <w:rPr>
          <w:rFonts w:hint="eastAsia"/>
          <w:b/>
          <w:sz w:val="28"/>
          <w:szCs w:val="28"/>
        </w:rPr>
        <w:t>3.2 拒付处理流程</w:t>
      </w:r>
    </w:p>
    <w:p>
      <w:pPr>
        <w:spacing w:beforeLines="50" w:afterLines="50" w:line="360" w:lineRule="auto"/>
        <w:rPr>
          <w:sz w:val="24"/>
          <w:szCs w:val="24"/>
        </w:rPr>
      </w:pPr>
      <w:r>
        <w:rPr>
          <w:rFonts w:hint="eastAsia"/>
          <w:sz w:val="24"/>
          <w:szCs w:val="24"/>
        </w:rPr>
        <w:t>拒付处理根据交易是否发货及不同拒付原因而决定进行的操作</w:t>
      </w:r>
    </w:p>
    <w:p>
      <w:pPr>
        <w:spacing w:beforeLines="50" w:afterLines="50" w:line="360" w:lineRule="auto"/>
        <w:rPr>
          <w:sz w:val="24"/>
          <w:szCs w:val="24"/>
        </w:rPr>
      </w:pPr>
      <w:r>
        <w:rPr>
          <w:rFonts w:hint="eastAsia"/>
          <w:sz w:val="24"/>
          <w:szCs w:val="24"/>
        </w:rPr>
        <w:t>3.2.1已发货交易</w:t>
      </w:r>
    </w:p>
    <w:p>
      <w:pPr>
        <w:spacing w:beforeLines="50" w:afterLines="50" w:line="360" w:lineRule="auto"/>
        <w:rPr>
          <w:sz w:val="24"/>
          <w:szCs w:val="24"/>
        </w:rPr>
      </w:pPr>
      <w:r>
        <w:rPr>
          <w:rFonts w:hint="eastAsia"/>
          <w:sz w:val="24"/>
          <w:szCs w:val="24"/>
        </w:rPr>
        <w:t>针对已发货交易，需根据持卡人拒付原因进行拒付处理，针对有异议的拒付交易需联系持卡人确认具体的拒付原因。如可通过持卡人协商而取消拒付，则通过协商解决并联系银行或第三方机构查询拒付取消结果。</w:t>
      </w:r>
    </w:p>
    <w:p>
      <w:pPr>
        <w:pStyle w:val="6"/>
        <w:numPr>
          <w:ilvl w:val="1"/>
          <w:numId w:val="9"/>
        </w:numPr>
        <w:spacing w:beforeLines="50" w:afterLines="50" w:line="360" w:lineRule="auto"/>
        <w:ind w:firstLineChars="0"/>
        <w:rPr>
          <w:sz w:val="24"/>
          <w:szCs w:val="24"/>
        </w:rPr>
      </w:pPr>
      <w:r>
        <w:rPr>
          <w:rFonts w:hint="eastAsia"/>
          <w:sz w:val="24"/>
          <w:szCs w:val="24"/>
        </w:rPr>
        <w:t>因未收到货而拒付：将订购商品信息、收货人信息、商品物流信息等提交银行或第三方机构进行拒付再请款；联系持卡人告知商品物流信息，确认是否收到货物。</w:t>
      </w:r>
    </w:p>
    <w:p>
      <w:pPr>
        <w:pStyle w:val="6"/>
        <w:numPr>
          <w:ilvl w:val="1"/>
          <w:numId w:val="9"/>
        </w:numPr>
        <w:spacing w:beforeLines="50" w:afterLines="50" w:line="360" w:lineRule="auto"/>
        <w:ind w:firstLineChars="0"/>
        <w:rPr>
          <w:sz w:val="24"/>
          <w:szCs w:val="24"/>
        </w:rPr>
      </w:pPr>
      <w:r>
        <w:rPr>
          <w:rFonts w:hint="eastAsia"/>
          <w:sz w:val="24"/>
          <w:szCs w:val="24"/>
        </w:rPr>
        <w:t>因未收到退款而拒付：如确未退款，则接受拒付处理；如已退款，则反馈银行或第三方机构退款信息</w:t>
      </w:r>
    </w:p>
    <w:p>
      <w:pPr>
        <w:pStyle w:val="6"/>
        <w:numPr>
          <w:ilvl w:val="1"/>
          <w:numId w:val="9"/>
        </w:numPr>
        <w:spacing w:beforeLines="50" w:afterLines="50" w:line="360" w:lineRule="auto"/>
        <w:ind w:firstLineChars="0"/>
        <w:rPr>
          <w:sz w:val="24"/>
          <w:szCs w:val="24"/>
        </w:rPr>
      </w:pPr>
      <w:r>
        <w:rPr>
          <w:rFonts w:hint="eastAsia"/>
          <w:sz w:val="24"/>
          <w:szCs w:val="24"/>
        </w:rPr>
        <w:t>因商品与图片不符拒付：联系持卡人提供货品照片，如质量原因则进行退款或接受拒付；如因颜色或号码引起的持卡人不满意，则联系持卡人协商解决，并提供退换货流程；</w:t>
      </w:r>
    </w:p>
    <w:p>
      <w:pPr>
        <w:spacing w:beforeLines="50" w:afterLines="50" w:line="360" w:lineRule="auto"/>
        <w:rPr>
          <w:sz w:val="24"/>
          <w:szCs w:val="24"/>
        </w:rPr>
      </w:pPr>
      <w:r>
        <w:rPr>
          <w:rFonts w:hint="eastAsia"/>
          <w:sz w:val="24"/>
          <w:szCs w:val="24"/>
        </w:rPr>
        <w:t>3.2.2未发货交易</w:t>
      </w:r>
    </w:p>
    <w:p>
      <w:pPr>
        <w:spacing w:beforeLines="50" w:afterLines="50" w:line="360" w:lineRule="auto"/>
        <w:rPr>
          <w:sz w:val="24"/>
          <w:szCs w:val="24"/>
        </w:rPr>
      </w:pPr>
      <w:r>
        <w:rPr>
          <w:rFonts w:hint="eastAsia"/>
          <w:sz w:val="24"/>
          <w:szCs w:val="24"/>
        </w:rPr>
        <w:t xml:space="preserve">    针对未发货交易而产生的拒付，一律联系持卡人进行退款操作。</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6538209">
    <w:nsid w:val="3C972461"/>
    <w:multiLevelType w:val="multilevel"/>
    <w:tmpl w:val="3C972461"/>
    <w:lvl w:ilvl="0" w:tentative="1">
      <w:start w:val="1"/>
      <w:numFmt w:val="bullet"/>
      <w:lvlText w:val=""/>
      <w:lvlJc w:val="left"/>
      <w:pPr>
        <w:ind w:left="360" w:hanging="360"/>
      </w:pPr>
      <w:rPr>
        <w:rFonts w:hint="default" w:ascii="Wingdings" w:hAnsi="Wingdings"/>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85824246">
    <w:nsid w:val="46AE3DF6"/>
    <w:multiLevelType w:val="multilevel"/>
    <w:tmpl w:val="46AE3DF6"/>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216812737">
    <w:nsid w:val="488716C1"/>
    <w:multiLevelType w:val="multilevel"/>
    <w:tmpl w:val="488716C1"/>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700543805">
    <w:nsid w:val="655C3D3D"/>
    <w:multiLevelType w:val="multilevel"/>
    <w:tmpl w:val="655C3D3D"/>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1995260040">
    <w:nsid w:val="76ED4088"/>
    <w:multiLevelType w:val="multilevel"/>
    <w:tmpl w:val="76ED4088"/>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6256618">
    <w:nsid w:val="005F77EA"/>
    <w:multiLevelType w:val="multilevel"/>
    <w:tmpl w:val="005F77EA"/>
    <w:lvl w:ilvl="0" w:tentative="1">
      <w:start w:val="1"/>
      <w:numFmt w:val="bullet"/>
      <w:lvlText w:val=""/>
      <w:lvlJc w:val="left"/>
      <w:pPr>
        <w:ind w:left="780" w:hanging="420"/>
      </w:pPr>
      <w:rPr>
        <w:rFonts w:hint="default" w:ascii="Wingdings" w:hAnsi="Wingdings"/>
      </w:rPr>
    </w:lvl>
    <w:lvl w:ilvl="1" w:tentative="1">
      <w:start w:val="1"/>
      <w:numFmt w:val="bullet"/>
      <w:lvlText w:val=""/>
      <w:lvlJc w:val="left"/>
      <w:pPr>
        <w:ind w:left="1200" w:hanging="420"/>
      </w:pPr>
      <w:rPr>
        <w:rFonts w:hint="default" w:ascii="Wingdings" w:hAnsi="Wingdings"/>
      </w:rPr>
    </w:lvl>
    <w:lvl w:ilvl="2" w:tentative="1">
      <w:start w:val="1"/>
      <w:numFmt w:val="bullet"/>
      <w:lvlText w:val=""/>
      <w:lvlJc w:val="left"/>
      <w:pPr>
        <w:ind w:left="1620" w:hanging="420"/>
      </w:pPr>
      <w:rPr>
        <w:rFonts w:hint="default" w:ascii="Wingdings" w:hAnsi="Wingdings"/>
      </w:rPr>
    </w:lvl>
    <w:lvl w:ilvl="3" w:tentative="1">
      <w:start w:val="1"/>
      <w:numFmt w:val="bullet"/>
      <w:lvlText w:val=""/>
      <w:lvlJc w:val="left"/>
      <w:pPr>
        <w:ind w:left="2040" w:hanging="420"/>
      </w:pPr>
      <w:rPr>
        <w:rFonts w:hint="default" w:ascii="Wingdings" w:hAnsi="Wingdings"/>
      </w:rPr>
    </w:lvl>
    <w:lvl w:ilvl="4" w:tentative="1">
      <w:start w:val="1"/>
      <w:numFmt w:val="bullet"/>
      <w:lvlText w:val=""/>
      <w:lvlJc w:val="left"/>
      <w:pPr>
        <w:ind w:left="2460" w:hanging="420"/>
      </w:pPr>
      <w:rPr>
        <w:rFonts w:hint="default" w:ascii="Wingdings" w:hAnsi="Wingdings"/>
      </w:rPr>
    </w:lvl>
    <w:lvl w:ilvl="5" w:tentative="1">
      <w:start w:val="1"/>
      <w:numFmt w:val="bullet"/>
      <w:lvlText w:val=""/>
      <w:lvlJc w:val="left"/>
      <w:pPr>
        <w:ind w:left="2880" w:hanging="420"/>
      </w:pPr>
      <w:rPr>
        <w:rFonts w:hint="default" w:ascii="Wingdings" w:hAnsi="Wingdings"/>
      </w:rPr>
    </w:lvl>
    <w:lvl w:ilvl="6" w:tentative="1">
      <w:start w:val="1"/>
      <w:numFmt w:val="bullet"/>
      <w:lvlText w:val=""/>
      <w:lvlJc w:val="left"/>
      <w:pPr>
        <w:ind w:left="3300" w:hanging="420"/>
      </w:pPr>
      <w:rPr>
        <w:rFonts w:hint="default" w:ascii="Wingdings" w:hAnsi="Wingdings"/>
      </w:rPr>
    </w:lvl>
    <w:lvl w:ilvl="7" w:tentative="1">
      <w:start w:val="1"/>
      <w:numFmt w:val="bullet"/>
      <w:lvlText w:val=""/>
      <w:lvlJc w:val="left"/>
      <w:pPr>
        <w:ind w:left="3720" w:hanging="420"/>
      </w:pPr>
      <w:rPr>
        <w:rFonts w:hint="default" w:ascii="Wingdings" w:hAnsi="Wingdings"/>
      </w:rPr>
    </w:lvl>
    <w:lvl w:ilvl="8" w:tentative="1">
      <w:start w:val="1"/>
      <w:numFmt w:val="bullet"/>
      <w:lvlText w:val=""/>
      <w:lvlJc w:val="left"/>
      <w:pPr>
        <w:ind w:left="4140" w:hanging="420"/>
      </w:pPr>
      <w:rPr>
        <w:rFonts w:hint="default" w:ascii="Wingdings" w:hAnsi="Wingdings"/>
      </w:rPr>
    </w:lvl>
  </w:abstractNum>
  <w:abstractNum w:abstractNumId="857934564">
    <w:nsid w:val="33230AE4"/>
    <w:multiLevelType w:val="multilevel"/>
    <w:tmpl w:val="33230AE4"/>
    <w:lvl w:ilvl="0" w:tentative="1">
      <w:start w:val="1"/>
      <w:numFmt w:val="bullet"/>
      <w:lvlText w:val=""/>
      <w:lvlJc w:val="left"/>
      <w:pPr>
        <w:ind w:left="360" w:hanging="360"/>
      </w:pPr>
      <w:rPr>
        <w:rFonts w:hint="default" w:ascii="Wingdings" w:hAnsi="Wingdings"/>
      </w:rPr>
    </w:lvl>
    <w:lvl w:ilvl="1" w:tentative="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87088586">
    <w:nsid w:val="1D0861CA"/>
    <w:multiLevelType w:val="multilevel"/>
    <w:tmpl w:val="1D0861CA"/>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abstractNum w:abstractNumId="254628633">
    <w:nsid w:val="0F2D5319"/>
    <w:multiLevelType w:val="multilevel"/>
    <w:tmpl w:val="0F2D5319"/>
    <w:lvl w:ilvl="0" w:tentative="1">
      <w:start w:val="1"/>
      <w:numFmt w:val="bullet"/>
      <w:lvlText w:val=""/>
      <w:lvlJc w:val="left"/>
      <w:pPr>
        <w:ind w:left="420" w:hanging="420"/>
      </w:pPr>
      <w:rPr>
        <w:rFonts w:hint="default" w:ascii="Wingdings" w:hAnsi="Wingdings"/>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6256618"/>
  </w:num>
  <w:num w:numId="2">
    <w:abstractNumId w:val="1016538209"/>
  </w:num>
  <w:num w:numId="3">
    <w:abstractNumId w:val="857934564"/>
  </w:num>
  <w:num w:numId="4">
    <w:abstractNumId w:val="1216812737"/>
  </w:num>
  <w:num w:numId="5">
    <w:abstractNumId w:val="487088586"/>
  </w:num>
  <w:num w:numId="6">
    <w:abstractNumId w:val="1995260040"/>
  </w:num>
  <w:num w:numId="7">
    <w:abstractNumId w:val="254628633"/>
  </w:num>
  <w:num w:numId="8">
    <w:abstractNumId w:val="1185824246"/>
  </w:num>
  <w:num w:numId="9">
    <w:abstractNumId w:val="17005438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useFELayout/>
    <w:doNotUseIndentAsNumberingTabStop/>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73664033"/>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iPriority w:val="0"/>
  </w:style>
  <w:style w:type="table" w:default="1" w:styleId="5">
    <w:name w:val="Normal Table"/>
    <w:unhideWhenUsed/>
    <w:uiPriority w:val="99"/>
    <w:tblPr>
      <w:tblLayout w:type="fixed"/>
      <w:tblCellMar>
        <w:top w:w="0" w:type="dxa"/>
        <w:left w:w="108" w:type="dxa"/>
        <w:bottom w:w="0" w:type="dxa"/>
        <w:right w:w="108" w:type="dxa"/>
      </w:tblCellMar>
    </w:tblPr>
    <w:tcPr>
      <w:textDirection w:val="lrTb"/>
    </w:tc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customStyle="1" w:styleId="6">
    <w:name w:val="List Paragraph"/>
    <w:basedOn w:val="1"/>
    <w:uiPriority w:val="0"/>
    <w:pPr>
      <w:ind w:firstLine="420" w:firstLineChars="200"/>
    </w:pPr>
  </w:style>
  <w:style w:type="character" w:customStyle="1" w:styleId="7">
    <w:name w:val="页脚 Char"/>
    <w:basedOn w:val="4"/>
    <w:link w:val="2"/>
    <w:semiHidden/>
    <w:uiPriority w:val="0"/>
    <w:rPr>
      <w:sz w:val="18"/>
      <w:szCs w:val="18"/>
    </w:rPr>
  </w:style>
  <w:style w:type="character" w:customStyle="1" w:styleId="8">
    <w:name w:val="页眉 Char"/>
    <w:basedOn w:val="4"/>
    <w:link w:val="3"/>
    <w:semiHidden/>
    <w:uiPriority w:val="0"/>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233</Words>
  <Characters>1333</Characters>
  <Lines>11</Lines>
  <Paragraphs>3</Paragraphs>
  <ScaleCrop>false</ScaleCrop>
  <LinksUpToDate>false</LinksUpToDate>
  <CharactersWithSpaces>0</CharactersWithSpaces>
  <Application>WPS Office 个人版_9.1.0.4993_{F1E327BC-269C-435d-A152-05C5408002CA}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2013-09-10T06:27:00Z</dcterms:created>
  <dc:creator>zhangcy</dc:creator>
  <cp:lastModifiedBy>Administrator</cp:lastModifiedBy>
  <dcterms:modified xsi:type="dcterms:W3CDTF">2015-04-02T04:09:07Z</dcterms:modified>
  <dc:title>风险控制制度</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2052-9.1.0.4993</vt:lpwstr>
  </property>
</Properties>
</file>