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Healthcare Metrics Project</w:t>
      </w:r>
    </w:p>
    <w:p>
      <w:pPr>
        <w:pStyle w:val="Heading1"/>
        <w:spacing w:after="200"/>
      </w:pPr>
      <w:r>
        <w:t xml:space="preserve">Final Architecture and Process Flow</w:t>
      </w:r>
    </w:p>
    <w:p>
      <w:pPr>
        <w:spacing w:after="100"/>
      </w:pPr>
      <w:r>
        <w:rPr>
          <w:i/>
          <w:iCs/>
        </w:rPr>
        <w:t xml:space="preserve">AWS-only pipeline (no Snowflake, dbt, or Athena) that ingests data from Google Drive incrementally, cleans it with Glue, and serves it to a Streamlit dashboard querying S3 directly via DuckDB.</w:t>
      </w:r>
    </w:p>
    <w:p>
      <w:pPr>
        <w:spacing w:after="300"/>
      </w:pPr>
      <w:r>
        <w:t xml:space="preserve">This is a Data Lake based architecture: raw and processed data are stored as files in S3 (schema-on-read, not a managed warehouse), decoupled from the query engine.</w:t>
      </w:r>
    </w:p>
    <w:p>
      <w:pPr>
        <w:pStyle w:val="Heading2"/>
        <w:spacing w:after="150" w:before="200"/>
      </w:pPr>
      <w:r>
        <w:t xml:space="preserve">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872"/>
        <w:gridCol w:w="6365"/>
      </w:tblGrid>
      <w:tr>
        <w:trPr>
          <w:tblHeader/>
        </w:trPr>
        <w:tc>
          <w:tcPr>
            <w:tcW w:type="dxa" w:w="1123"/>
            <w:shd w:fill="1F2937" w:val="clear"/>
          </w:tcPr>
          <w:p>
            <w:r>
              <w:rPr>
                <w:b/>
                <w:bCs/>
                <w:color w:val="FFFFFF"/>
                <w:sz w:val="20"/>
                <w:szCs w:val="20"/>
              </w:rPr>
              <w:t xml:space="preserve">Stage</w:t>
            </w:r>
          </w:p>
        </w:tc>
        <w:tc>
          <w:tcPr>
            <w:tcW w:type="dxa" w:w="1872"/>
            <w:shd w:fill="1F2937" w:val="clear"/>
          </w:tcPr>
          <w:p>
            <w:r>
              <w:rPr>
                <w:b/>
                <w:bCs/>
                <w:color w:val="FFFFFF"/>
                <w:sz w:val="20"/>
                <w:szCs w:val="20"/>
              </w:rPr>
              <w:t xml:space="preserve">Tool</w:t>
            </w:r>
          </w:p>
        </w:tc>
        <w:tc>
          <w:tcPr>
            <w:tcW w:type="dxa" w:w="6365"/>
            <w:shd w:fill="1F2937" w:val="clear"/>
          </w:tcPr>
          <w:p>
            <w:r>
              <w:rPr>
                <w:b/>
                <w:bCs/>
                <w:color w:val="FFFFFF"/>
                <w:sz w:val="20"/>
                <w:szCs w:val="20"/>
              </w:rPr>
              <w:t xml:space="preserve">What it does</w:t>
            </w:r>
          </w:p>
        </w:tc>
      </w:tr>
      <w:tr>
        <w:tc>
          <w:tcPr>
            <w:tcW w:type="dxa" w:w="1123"/>
            <w:shd w:fill="EAF3FF" w:val="clear"/>
          </w:tcPr>
          <w:p>
            <w:r>
              <w:rPr>
                <w:sz w:val="20"/>
                <w:szCs w:val="20"/>
              </w:rPr>
              <w:t xml:space="preserve">1. Source</w:t>
            </w:r>
          </w:p>
        </w:tc>
        <w:tc>
          <w:tcPr>
            <w:tcW w:type="dxa" w:w="1872"/>
            <w:shd w:fill="EAF3FF" w:val="clear"/>
          </w:tcPr>
          <w:p>
            <w:r>
              <w:rPr>
                <w:sz w:val="20"/>
                <w:szCs w:val="20"/>
              </w:rPr>
              <w:t xml:space="preserve">Google Drive</w:t>
            </w:r>
          </w:p>
        </w:tc>
        <w:tc>
          <w:tcPr>
            <w:tcW w:type="dxa" w:w="6365"/>
            <w:shd w:fill="EAF3FF" w:val="clear"/>
          </w:tcPr>
          <w:p>
            <w:r>
              <w:rPr>
                <w:sz w:val="20"/>
                <w:szCs w:val="20"/>
              </w:rPr>
              <w:t xml:space="preserve">CMS drops quarterly/monthly CSV files here (PBJ master file plus supporting NH data catalog files).</w:t>
            </w:r>
          </w:p>
        </w:tc>
      </w:tr>
      <w:tr>
        <w:tc>
          <w:tcPr>
            <w:tcW w:type="dxa" w:w="1123"/>
          </w:tcPr>
          <w:p>
            <w:r>
              <w:rPr>
                <w:sz w:val="20"/>
                <w:szCs w:val="20"/>
              </w:rPr>
              <w:t xml:space="preserve">2. Incremental ingestion</w:t>
            </w:r>
          </w:p>
        </w:tc>
        <w:tc>
          <w:tcPr>
            <w:tcW w:type="dxa" w:w="1872"/>
          </w:tcPr>
          <w:p>
            <w:r>
              <w:rPr>
                <w:sz w:val="20"/>
                <w:szCs w:val="20"/>
              </w:rPr>
              <w:t xml:space="preserve">AWS Glue Python Shell + Google Drive API, orchestrated by Glue Workflow, tracked in DynamoDB</w:t>
            </w:r>
          </w:p>
        </w:tc>
        <w:tc>
          <w:tcPr>
            <w:tcW w:type="dxa" w:w="6365"/>
          </w:tcPr>
          <w:p>
            <w:r>
              <w:rPr>
                <w:sz w:val="20"/>
                <w:szCs w:val="20"/>
              </w:rPr>
              <w:t xml:space="preserve">Checks each file's modifiedTime against what's stored in DynamoDB from the last run. New file -&gt; download. Changed file -&gt; re-download. Unchanged -&gt; skip entirely.</w:t>
            </w:r>
          </w:p>
        </w:tc>
      </w:tr>
      <w:tr>
        <w:tc>
          <w:tcPr>
            <w:tcW w:type="dxa" w:w="1123"/>
            <w:shd w:fill="EAF3FF" w:val="clear"/>
          </w:tcPr>
          <w:p>
            <w:r>
              <w:rPr>
                <w:sz w:val="20"/>
                <w:szCs w:val="20"/>
              </w:rPr>
              <w:t xml:space="preserve">3. Raw landing</w:t>
            </w:r>
          </w:p>
        </w:tc>
        <w:tc>
          <w:tcPr>
            <w:tcW w:type="dxa" w:w="1872"/>
            <w:shd w:fill="EAF3FF" w:val="clear"/>
          </w:tcPr>
          <w:p>
            <w:r>
              <w:rPr>
                <w:sz w:val="20"/>
                <w:szCs w:val="20"/>
              </w:rPr>
              <w:t xml:space="preserve">S3 (raw zone -- Bronze)</w:t>
            </w:r>
          </w:p>
        </w:tc>
        <w:tc>
          <w:tcPr>
            <w:tcW w:type="dxa" w:w="6365"/>
            <w:shd w:fill="EAF3FF" w:val="clear"/>
          </w:tcPr>
          <w:p>
            <w:r>
              <w:rPr>
                <w:sz w:val="20"/>
                <w:szCs w:val="20"/>
              </w:rPr>
              <w:t xml:space="preserve">Exact copies of whatever the ingestion job pulled, untouched.</w:t>
            </w:r>
          </w:p>
        </w:tc>
      </w:tr>
      <w:tr>
        <w:tc>
          <w:tcPr>
            <w:tcW w:type="dxa" w:w="1123"/>
          </w:tcPr>
          <w:p>
            <w:r>
              <w:rPr>
                <w:sz w:val="20"/>
                <w:szCs w:val="20"/>
              </w:rPr>
              <w:t xml:space="preserve">4. Cleaning / transformation</w:t>
            </w:r>
          </w:p>
        </w:tc>
        <w:tc>
          <w:tcPr>
            <w:tcW w:type="dxa" w:w="1872"/>
          </w:tcPr>
          <w:p>
            <w:r>
              <w:rPr>
                <w:sz w:val="20"/>
                <w:szCs w:val="20"/>
              </w:rPr>
              <w:t xml:space="preserve">AWS Glue Python Shell, same Glue Workflow as stage 2</w:t>
            </w:r>
          </w:p>
        </w:tc>
        <w:tc>
          <w:tcPr>
            <w:tcW w:type="dxa" w:w="6365"/>
          </w:tcPr>
          <w:p>
            <w:r>
              <w:rPr>
                <w:sz w:val="20"/>
                <w:szCs w:val="20"/>
              </w:rPr>
              <w:t xml:space="preserve">Fixes the CCN leading-zero bug, standardizes column names to snake_case, casts types, deduplicates, writes output as Parquet.</w:t>
            </w:r>
          </w:p>
        </w:tc>
      </w:tr>
      <w:tr>
        <w:tc>
          <w:tcPr>
            <w:tcW w:type="dxa" w:w="1123"/>
            <w:shd w:fill="EAF3FF" w:val="clear"/>
          </w:tcPr>
          <w:p>
            <w:r>
              <w:rPr>
                <w:sz w:val="20"/>
                <w:szCs w:val="20"/>
              </w:rPr>
              <w:t xml:space="preserve">5. Processed storage</w:t>
            </w:r>
          </w:p>
        </w:tc>
        <w:tc>
          <w:tcPr>
            <w:tcW w:type="dxa" w:w="1872"/>
            <w:shd w:fill="EAF3FF" w:val="clear"/>
          </w:tcPr>
          <w:p>
            <w:r>
              <w:rPr>
                <w:sz w:val="20"/>
                <w:szCs w:val="20"/>
              </w:rPr>
              <w:t xml:space="preserve">S3 (processed zone -- Silver)</w:t>
            </w:r>
          </w:p>
        </w:tc>
        <w:tc>
          <w:tcPr>
            <w:tcW w:type="dxa" w:w="6365"/>
            <w:shd w:fill="EAF3FF" w:val="clear"/>
          </w:tcPr>
          <w:p>
            <w:r>
              <w:rPr>
                <w:sz w:val="20"/>
                <w:szCs w:val="20"/>
              </w:rPr>
              <w:t xml:space="preserve">Three clean Parquet tables (named below).</w:t>
            </w:r>
          </w:p>
        </w:tc>
      </w:tr>
      <w:tr>
        <w:tc>
          <w:tcPr>
            <w:tcW w:type="dxa" w:w="1123"/>
          </w:tcPr>
          <w:p>
            <w:r>
              <w:rPr>
                <w:sz w:val="20"/>
                <w:szCs w:val="20"/>
              </w:rPr>
              <w:t xml:space="preserve">6. Query + dashboard</w:t>
            </w:r>
          </w:p>
        </w:tc>
        <w:tc>
          <w:tcPr>
            <w:tcW w:type="dxa" w:w="1872"/>
          </w:tcPr>
          <w:p>
            <w:r>
              <w:rPr>
                <w:sz w:val="20"/>
                <w:szCs w:val="20"/>
              </w:rPr>
              <w:t xml:space="preserve">Streamlit + DuckDB</w:t>
            </w:r>
          </w:p>
        </w:tc>
        <w:tc>
          <w:tcPr>
            <w:tcW w:type="dxa" w:w="6365"/>
          </w:tcPr>
          <w:p>
            <w:r>
              <w:rPr>
                <w:sz w:val="20"/>
                <w:szCs w:val="20"/>
              </w:rPr>
              <w:t xml:space="preserve">DuckDB reads the Parquet files directly from S3 and runs SQL live, in response to sidebar filters.</w:t>
            </w:r>
          </w:p>
        </w:tc>
      </w:tr>
    </w:tbl>
    <w:p>
      <w:pPr>
        <w:pStyle w:val="Heading2"/>
        <w:spacing w:after="150" w:before="400"/>
      </w:pPr>
      <w:r>
        <w:t xml:space="preserve">Why Glue alone (revised, per review feedback)</w:t>
      </w:r>
    </w:p>
    <w:p>
      <w:pPr>
        <w:spacing w:after="150"/>
      </w:pPr>
      <w:r>
        <w:t xml:space="preserve">An earlier version of this design used AWS Lambda for ingestion and Glue for transformation, reasoning that Lambda's event-driven execution model was a good fit for a lightweight API-polling task. Review feedback identified a better approach: this is a periodic BATCH pipeline (checking Google Drive on a schedule), not a real-time event-driven workload -- so Lambda's strengths don't actually apply here, and introducing it adds a second service (plus EventBridge to schedule it) without a clear benefit.</w:t>
      </w:r>
    </w:p>
    <w:p>
      <w:pPr>
        <w:spacing w:after="150"/>
      </w:pPr>
      <w:r>
        <w:t xml:space="preserve">The revised design uses Glue Python Shell for BOTH stages, run as two nodes inside one Glue Workflow:</w:t>
      </w:r>
    </w:p>
    <w:p>
      <w:pPr>
        <w:spacing w:after="150"/>
      </w:pPr>
      <w:r>
        <w:rPr>
          <w:b/>
          <w:bCs/>
        </w:rPr>
        <w:t xml:space="preserve">Ingestion node (Python Shell): </w:t>
      </w:r>
      <w:r>
        <w:t xml:space="preserve">calls the Drive API, compares each file's modifiedTime against a DynamoDB watermark, and downloads only new/changed files into S3 -- the exact same incremental logic the earlier Lambda version used, just running as a Glue job instead.</w:t>
      </w:r>
    </w:p>
    <w:p>
      <w:pPr>
        <w:spacing w:after="150"/>
      </w:pPr>
      <w:r>
        <w:rPr>
          <w:b/>
          <w:bCs/>
        </w:rPr>
        <w:t xml:space="preserve">Transformation node (Python Shell): </w:t>
      </w:r>
      <w:r>
        <w:t xml:space="preserve">unchanged from before -- cleans, standardizes, and writes Parquet.</w:t>
      </w:r>
    </w:p>
    <w:p>
      <w:pPr>
        <w:spacing w:after="150"/>
      </w:pPr>
      <w:r>
        <w:t xml:space="preserve">The Glue Workflow's own schedule trigger starts the ingestion node directly -- no separate EventBridge rule needed -- and its sequencing (ingestion succeeds -&gt; transformation runs next) replaces what would otherwise require Step Functions or a second EventBridge rule watching for new S3 objects. This keeps the entire pipeline inside one AWS service family, with one place to check run history and monitor failures, rather than spreading equivalent logic across Lambda, EventBridge, and Glue for what is fundamentally one sequential batch job.</w:t>
      </w:r>
    </w:p>
    <w:p>
      <w:r>
        <w:t xml:space="preserve">This is a deliberate trade-off, not just a cost optimization: Lambda's per-invocation cost would likely be marginally cheaper at this data volume, but overall architectural simplicity -- fewer services to configure, monitor, and reason about -- is the stronger consideration for a batch pipeline this size, and outweighs a small per-run cost difference in a single job.</w:t>
      </w:r>
    </w:p>
    <w:p>
      <w:pPr>
        <w:pStyle w:val="Heading2"/>
        <w:spacing w:after="150" w:before="400"/>
      </w:pPr>
      <w:r>
        <w:t xml:space="preserve">Medallion Architecture</w:t>
      </w:r>
    </w:p>
    <w:p>
      <w:pPr>
        <w:spacing w:after="150"/>
      </w:pPr>
      <w:r>
        <w:t xml:space="preserve">Medallion architecture is a data design pattern (popularized by Databricks) that organizes data into progressive layers of quality and refinement inside a data lake, each named after a metal to signal its level of "value":</w:t>
      </w:r>
    </w:p>
    <w:p>
      <w:pPr>
        <w:spacing w:after="100"/>
      </w:pPr>
      <w:r>
        <w:rPr>
          <w:b/>
          <w:bCs/>
        </w:rPr>
        <w:t xml:space="preserve">Bronze layer: </w:t>
      </w:r>
      <w:r>
        <w:t xml:space="preserve">raw, untouched data exactly as it arrived from the source. No cleaning, no schema changes -- this layer exists to preserve an unmodified copy of the source for traceability and reprocessing if a later transformation logic error is found.</w:t>
      </w:r>
    </w:p>
    <w:p>
      <w:pPr>
        <w:spacing w:after="100"/>
      </w:pPr>
      <w:r>
        <w:rPr>
          <w:b/>
          <w:bCs/>
        </w:rPr>
        <w:t xml:space="preserve">Silver layer: </w:t>
      </w:r>
      <w:r>
        <w:t xml:space="preserve">cleaned, validated, and standardized data -- consistent column names and types, deduplicated, corrected known data-quality issues (like the CCN leading-zero bug here). Still at the same grain/detail as the source, just trustworthy.</w:t>
      </w:r>
    </w:p>
    <w:p>
      <w:pPr>
        <w:spacing w:after="150"/>
      </w:pPr>
      <w:r>
        <w:rPr>
          <w:b/>
          <w:bCs/>
        </w:rPr>
        <w:t xml:space="preserve">Gold layer: </w:t>
      </w:r>
      <w:r>
        <w:t xml:space="preserve">business-level, aggregated, ready-to-consume data -- pre-computed metrics and joins, optimized for direct reporting/dashboard use, usually at a coarser grain than Silver.</w:t>
      </w:r>
    </w:p>
    <w:p>
      <w:pPr>
        <w:pStyle w:val="Heading3"/>
        <w:spacing w:after="100" w:before="100"/>
      </w:pPr>
      <w:r>
        <w:t xml:space="preserve">Why no Gold layer here</w:t>
      </w:r>
    </w:p>
    <w:p>
      <w:r>
        <w:t xml:space="preserve">This project intentionally stops at Silver. The Streamlit dashboard computes every metric (staffing ratios, occupancy rate, staffing-vs-readmission correlation, etc.) live via DuckDB SQL queries against the Silver Parquet files, rather than pre-materializing those results into a Gold table. This is a valid, deliberate design choice at this project's data volume (three files, roughly 1.3 million + 15,000 + 15,000 rows) -- live query performance is fast enough that a pre-aggregated Gold layer would add maintenance overhead (a fourth set of tables to keep in sync) without a performance benefit large enough to justify it. A Gold layer would become worth adding if the dashboard's query latency became noticeable, or if a second consumer (e.g. a second dashboard or scheduled report) needed the exact same pre-computed metrics without recomputing them.</w:t>
      </w:r>
    </w:p>
    <w:p>
      <w:pPr>
        <w:pStyle w:val="Heading2"/>
        <w:spacing w:after="150" w:before="400"/>
      </w:pPr>
      <w:r>
        <w:t xml:space="preserve">Tables Created Per Medallion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276"/>
        <w:gridCol w:w="4399"/>
      </w:tblGrid>
      <w:tr>
        <w:trPr>
          <w:tblHeader/>
        </w:trPr>
        <w:tc>
          <w:tcPr>
            <w:tcW w:type="dxa" w:w="1685"/>
            <w:shd w:fill="1F2937" w:val="clear"/>
          </w:tcPr>
          <w:p>
            <w:r>
              <w:rPr>
                <w:b/>
                <w:bCs/>
                <w:color w:val="FFFFFF"/>
                <w:sz w:val="20"/>
                <w:szCs w:val="20"/>
              </w:rPr>
              <w:t xml:space="preserve">Layer</w:t>
            </w:r>
          </w:p>
        </w:tc>
        <w:tc>
          <w:tcPr>
            <w:tcW w:type="dxa" w:w="3276"/>
            <w:shd w:fill="1F2937" w:val="clear"/>
          </w:tcPr>
          <w:p>
            <w:r>
              <w:rPr>
                <w:b/>
                <w:bCs/>
                <w:color w:val="FFFFFF"/>
                <w:sz w:val="20"/>
                <w:szCs w:val="20"/>
              </w:rPr>
              <w:t xml:space="preserve">Table Name</w:t>
            </w:r>
          </w:p>
        </w:tc>
        <w:tc>
          <w:tcPr>
            <w:tcW w:type="dxa" w:w="4399"/>
            <w:shd w:fill="1F2937" w:val="clear"/>
          </w:tcPr>
          <w:p>
            <w:r>
              <w:rPr>
                <w:b/>
                <w:bCs/>
                <w:color w:val="FFFFFF"/>
                <w:sz w:val="20"/>
                <w:szCs w:val="20"/>
              </w:rPr>
              <w:t xml:space="preserve">Description</w:t>
            </w:r>
          </w:p>
        </w:tc>
      </w:tr>
      <w:tr>
        <w:tc>
          <w:tcPr>
            <w:tcW w:type="dxa" w:w="1685"/>
            <w:shd w:fill="EAF3FF" w:val="clear"/>
          </w:tcPr>
          <w:p>
            <w:r>
              <w:rPr>
                <w:sz w:val="20"/>
                <w:szCs w:val="20"/>
              </w:rPr>
              <w:t xml:space="preserve">Bronze (raw)</w:t>
            </w:r>
          </w:p>
        </w:tc>
        <w:tc>
          <w:tcPr>
            <w:tcW w:type="dxa" w:w="3276"/>
            <w:shd w:fill="EAF3FF" w:val="clear"/>
          </w:tcPr>
          <w:p>
            <w:r>
              <w:rPr>
                <w:sz w:val="20"/>
                <w:szCs w:val="20"/>
              </w:rPr>
              <w:t xml:space="preserve">pbj_daily_nurse_staffing_raw</w:t>
            </w:r>
          </w:p>
        </w:tc>
        <w:tc>
          <w:tcPr>
            <w:tcW w:type="dxa" w:w="4399"/>
            <w:shd w:fill="EAF3FF" w:val="clear"/>
          </w:tcPr>
          <w:p>
            <w:r>
              <w:rPr>
                <w:sz w:val="20"/>
                <w:szCs w:val="20"/>
              </w:rPr>
              <w:t xml:space="preserve">Untouched copy of PBJ_Daily_Nurse_Staffing_Q2_2024.csv</w:t>
            </w:r>
          </w:p>
        </w:tc>
      </w:tr>
      <w:tr>
        <w:tc>
          <w:tcPr>
            <w:tcW w:type="dxa" w:w="1685"/>
          </w:tcPr>
          <w:p>
            <w:r>
              <w:rPr>
                <w:sz w:val="20"/>
                <w:szCs w:val="20"/>
              </w:rPr>
              <w:t xml:space="preserve">Bronze (raw)</w:t>
            </w:r>
          </w:p>
        </w:tc>
        <w:tc>
          <w:tcPr>
            <w:tcW w:type="dxa" w:w="3276"/>
          </w:tcPr>
          <w:p>
            <w:r>
              <w:rPr>
                <w:sz w:val="20"/>
                <w:szCs w:val="20"/>
              </w:rPr>
              <w:t xml:space="preserve">nh_providerinfo_raw</w:t>
            </w:r>
          </w:p>
        </w:tc>
        <w:tc>
          <w:tcPr>
            <w:tcW w:type="dxa" w:w="4399"/>
          </w:tcPr>
          <w:p>
            <w:r>
              <w:rPr>
                <w:sz w:val="20"/>
                <w:szCs w:val="20"/>
              </w:rPr>
              <w:t xml:space="preserve">Untouched copy of NH_ProviderInfo_Oct2024.csv</w:t>
            </w:r>
          </w:p>
        </w:tc>
      </w:tr>
      <w:tr>
        <w:tc>
          <w:tcPr>
            <w:tcW w:type="dxa" w:w="1685"/>
            <w:shd w:fill="EAF3FF" w:val="clear"/>
          </w:tcPr>
          <w:p>
            <w:r>
              <w:rPr>
                <w:sz w:val="20"/>
                <w:szCs w:val="20"/>
              </w:rPr>
              <w:t xml:space="preserve">Bronze (raw)</w:t>
            </w:r>
          </w:p>
        </w:tc>
        <w:tc>
          <w:tcPr>
            <w:tcW w:type="dxa" w:w="3276"/>
            <w:shd w:fill="EAF3FF" w:val="clear"/>
          </w:tcPr>
          <w:p>
            <w:r>
              <w:rPr>
                <w:sz w:val="20"/>
                <w:szCs w:val="20"/>
              </w:rPr>
              <w:t xml:space="preserve">qrp_provider_data_raw</w:t>
            </w:r>
          </w:p>
        </w:tc>
        <w:tc>
          <w:tcPr>
            <w:tcW w:type="dxa" w:w="4399"/>
            <w:shd w:fill="EAF3FF" w:val="clear"/>
          </w:tcPr>
          <w:p>
            <w:r>
              <w:rPr>
                <w:sz w:val="20"/>
                <w:szCs w:val="20"/>
              </w:rPr>
              <w:t xml:space="preserve">Untouched copy of the SNF QRP Provider Data file</w:t>
            </w:r>
          </w:p>
        </w:tc>
      </w:tr>
      <w:tr>
        <w:tc>
          <w:tcPr>
            <w:tcW w:type="dxa" w:w="1685"/>
          </w:tcPr>
          <w:p>
            <w:r>
              <w:rPr>
                <w:sz w:val="20"/>
                <w:szCs w:val="20"/>
              </w:rPr>
              <w:t xml:space="preserve">Silver (processed)</w:t>
            </w:r>
          </w:p>
        </w:tc>
        <w:tc>
          <w:tcPr>
            <w:tcW w:type="dxa" w:w="3276"/>
          </w:tcPr>
          <w:p>
            <w:r>
              <w:rPr>
                <w:sz w:val="20"/>
                <w:szCs w:val="20"/>
              </w:rPr>
              <w:t xml:space="preserve">pbj_daily_nurse_staffing</w:t>
            </w:r>
          </w:p>
        </w:tc>
        <w:tc>
          <w:tcPr>
            <w:tcW w:type="dxa" w:w="4399"/>
          </w:tcPr>
          <w:p>
            <w:r>
              <w:rPr>
                <w:sz w:val="20"/>
                <w:szCs w:val="20"/>
              </w:rPr>
              <w:t xml:space="preserve">Cleaned: CCN as string (leading zeros preserved), snake_case columns, deduplicated on provnum+workdate, written as Parquet</w:t>
            </w:r>
          </w:p>
        </w:tc>
      </w:tr>
      <w:tr>
        <w:tc>
          <w:tcPr>
            <w:tcW w:type="dxa" w:w="1685"/>
            <w:shd w:fill="EAF3FF" w:val="clear"/>
          </w:tcPr>
          <w:p>
            <w:r>
              <w:rPr>
                <w:sz w:val="20"/>
                <w:szCs w:val="20"/>
              </w:rPr>
              <w:t xml:space="preserve">Silver (processed)</w:t>
            </w:r>
          </w:p>
        </w:tc>
        <w:tc>
          <w:tcPr>
            <w:tcW w:type="dxa" w:w="3276"/>
            <w:shd w:fill="EAF3FF" w:val="clear"/>
          </w:tcPr>
          <w:p>
            <w:r>
              <w:rPr>
                <w:sz w:val="20"/>
                <w:szCs w:val="20"/>
              </w:rPr>
              <w:t xml:space="preserve">nh_providerinfo</w:t>
            </w:r>
          </w:p>
        </w:tc>
        <w:tc>
          <w:tcPr>
            <w:tcW w:type="dxa" w:w="4399"/>
            <w:shd w:fill="EAF3FF" w:val="clear"/>
          </w:tcPr>
          <w:p>
            <w:r>
              <w:rPr>
                <w:sz w:val="20"/>
                <w:szCs w:val="20"/>
              </w:rPr>
              <w:t xml:space="preserve">Cleaned: snake_case columns (ccn, state, provider_type, certified_beds, etc.), deduplicated on ccn</w:t>
            </w:r>
          </w:p>
        </w:tc>
      </w:tr>
      <w:tr>
        <w:tc>
          <w:tcPr>
            <w:tcW w:type="dxa" w:w="1685"/>
          </w:tcPr>
          <w:p>
            <w:r>
              <w:rPr>
                <w:sz w:val="20"/>
                <w:szCs w:val="20"/>
              </w:rPr>
              <w:t xml:space="preserve">Silver (processed)</w:t>
            </w:r>
          </w:p>
        </w:tc>
        <w:tc>
          <w:tcPr>
            <w:tcW w:type="dxa" w:w="3276"/>
          </w:tcPr>
          <w:p>
            <w:r>
              <w:rPr>
                <w:sz w:val="20"/>
                <w:szCs w:val="20"/>
              </w:rPr>
              <w:t xml:space="preserve">qrp_provider_data</w:t>
            </w:r>
          </w:p>
        </w:tc>
        <w:tc>
          <w:tcPr>
            <w:tcW w:type="dxa" w:w="4399"/>
          </w:tcPr>
          <w:p>
            <w:r>
              <w:rPr>
                <w:sz w:val="20"/>
                <w:szCs w:val="20"/>
              </w:rPr>
              <w:t xml:space="preserve">Cleaned: snake_case columns, deduplicated on ccn+measure_code+start_date+end_date</w:t>
            </w:r>
          </w:p>
        </w:tc>
      </w:tr>
      <w:tr>
        <w:tc>
          <w:tcPr>
            <w:tcW w:type="dxa" w:w="1685"/>
            <w:shd w:fill="EAF3FF" w:val="clear"/>
          </w:tcPr>
          <w:p>
            <w:r>
              <w:rPr>
                <w:sz w:val="20"/>
                <w:szCs w:val="20"/>
              </w:rPr>
              <w:t xml:space="preserve">Gold (business/serving)</w:t>
            </w:r>
          </w:p>
        </w:tc>
        <w:tc>
          <w:tcPr>
            <w:tcW w:type="dxa" w:w="3276"/>
            <w:shd w:fill="EAF3FF" w:val="clear"/>
          </w:tcPr>
          <w:p>
            <w:r>
              <w:rPr>
                <w:sz w:val="20"/>
                <w:szCs w:val="20"/>
              </w:rPr>
              <w:t xml:space="preserve">-- none --</w:t>
            </w:r>
          </w:p>
        </w:tc>
        <w:tc>
          <w:tcPr>
            <w:tcW w:type="dxa" w:w="4399"/>
            <w:shd w:fill="EAF3FF" w:val="clear"/>
          </w:tcPr>
          <w:p>
            <w:r>
              <w:rPr>
                <w:sz w:val="20"/>
                <w:szCs w:val="20"/>
              </w:rPr>
              <w:t xml:space="preserve">Not implemented. Metrics (staffing ratios, occupancy rate, correlations) are computed live at query time by Streamlit/DuckDB rather than pre-aggregated into materialized Gold tables. See "Why no Gold layer" below.</w:t>
            </w:r>
          </w:p>
        </w:tc>
      </w:tr>
    </w:tbl>
    <w:p>
      <w:pPr>
        <w:pStyle w:val="Heading2"/>
        <w:pageBreakBefore/>
        <w:spacing w:after="150" w:before="400"/>
      </w:pPr>
      <w:r>
        <w:t xml:space="preserve">AWS Glue Workflow</w:t>
      </w:r>
    </w:p>
    <w:p>
      <w:pPr>
        <w:spacing w:after="150"/>
      </w:pPr>
      <w:r>
        <w:t xml:space="preserve">A Glue Workflow is AWS Glue's built-in orchestration feature: it lets you chain together triggers, crawlers, and jobs into a single visual pipeline with defined run order and dependencies, plus a consolidated view of run history and failures in one place in the Glue console -- rather than each piece running independently with no shared visibility.</w:t>
      </w:r>
    </w:p>
    <w:p>
      <w:pPr>
        <w:spacing w:after="100"/>
      </w:pPr>
      <w:r>
        <w:t xml:space="preserve">The workflow designed for this pipeline has four stages -- both the ingestion and transformation jobs live in the SAME Glue Workflow, run in sequence:</w:t>
      </w:r>
    </w:p>
    <w:p>
      <w:pPr>
        <w:spacing w:after="100"/>
      </w:pPr>
      <w:r>
        <w:t xml:space="preserve">The 4 steps below describe the intended design -- to be configured during the AWS setup (Step 4), not yet built.</w:t>
      </w:r>
    </w:p>
    <w:p>
      <w:pPr>
        <w:spacing w:after="100"/>
      </w:pPr>
      <w:r>
        <w:rPr>
          <w:b/>
          <w:bCs/>
        </w:rPr>
        <w:t xml:space="preserve">1. Schedule trigger: </w:t>
      </w:r>
      <w:r>
        <w:t xml:space="preserve">the Glue Workflow's own ON_SCHEDULE trigger starts the ingestion node directly -- no separate EventBridge rule needed, since Glue Workflow can trigger on a schedule by itself.</w:t>
      </w:r>
    </w:p>
    <w:p>
      <w:pPr>
        <w:spacing w:after="100"/>
      </w:pPr>
      <w:r>
        <w:rPr>
          <w:b/>
          <w:bCs/>
        </w:rPr>
        <w:t xml:space="preserve">2. Ingestion node: </w:t>
      </w:r>
      <w:r>
        <w:t xml:space="preserve">glue_ingestion_job.py checks Google Drive for new/changed files (via the DynamoDB watermark) and downloads them to S3 raw.</w:t>
      </w:r>
    </w:p>
    <w:p>
      <w:pPr>
        <w:spacing w:after="100"/>
      </w:pPr>
      <w:r>
        <w:rPr>
          <w:b/>
          <w:bCs/>
        </w:rPr>
        <w:t xml:space="preserve">3. On-success trigger -&gt; Transformation node: </w:t>
      </w:r>
      <w:r>
        <w:t xml:space="preserve">once ingestion completes successfully, the Workflow's sequencing automatically starts glue_etl_job.py, which reads the raw CSVs, cleans them, and writes the 3 Silver Parquet tables listed above -- this replaces what would otherwise need Step Functions or a second EventBridge rule watching S3.</w:t>
      </w:r>
    </w:p>
    <w:p>
      <w:r>
        <w:rPr>
          <w:b/>
          <w:bCs/>
        </w:rPr>
        <w:t xml:space="preserve">4. Success/failure alerts: </w:t>
      </w:r>
      <w:r>
        <w:t xml:space="preserve">on success, optionally refresh a searchable catalog for future use. On failure, send an alert immediately, so a broken run doesn't silently leave the dashboard showing outdated data.</w:t>
      </w:r>
    </w:p>
    <w:p>
      <w:pPr>
        <w:spacing w:before="150"/>
      </w:pPr>
      <w:r>
        <w:t xml:space="preserve">Using a Workflow rather than an ad-hoc schedule makes the dependency between "new Bronze data exists" and "Silver should be regenerated" explicit and monitorable, rather than implicit and easy to lose track of as the pipeline evolves.</w:t>
      </w:r>
    </w:p>
    <w:p>
      <w:pPr>
        <w:pStyle w:val="Heading2"/>
        <w:pageBreakBefore/>
        <w:spacing w:after="150" w:before="400"/>
      </w:pPr>
      <w:r>
        <w:t xml:space="preserve">Process Flow Diagram</w:t>
      </w:r>
    </w:p>
    <w:p>
      <w:pPr>
        <w:spacing w:after="200"/>
      </w:pPr>
      <w:r>
        <w:rPr>
          <w:i/>
          <w:iCs/>
          <w:sz w:val="18"/>
          <w:szCs w:val="18"/>
        </w:rPr>
        <w:t xml:space="preserve">(Editable diagram: each box below is a table cell -- text, colors, and order can all be changed directly in Word, no image editor required.)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9CA3AF" w:val="clear"/>
            <w:tcMar>
              <w:top w:type="dxa" w:w="150"/>
              <w:left w:type="dxa" w:w="200"/>
              <w:bottom w:type="dxa" w:w="150"/>
              <w:right w:type="dxa" w:w="200"/>
            </w:tcMar>
          </w:tcPr>
          <w:p>
            <w:pPr>
              <w:jc w:val="center"/>
            </w:pPr>
            <w:r>
              <w:rPr>
                <w:b/>
                <w:bCs/>
                <w:sz w:val="24"/>
                <w:szCs w:val="24"/>
              </w:rPr>
              <w:t xml:space="preserve">Google Drive</w:t>
            </w:r>
          </w:p>
          <w:p>
            <w:pPr>
              <w:jc w:val="center"/>
            </w:pPr>
            <w:r>
              <w:rPr>
                <w:sz w:val="18"/>
                <w:szCs w:val="18"/>
              </w:rPr>
              <w:t xml:space="preserve">External source</w:t>
            </w:r>
          </w:p>
        </w:tc>
      </w:tr>
      <w:tr>
        <w:tc>
          <w:tcPr>
            <w:tcBorders>
              <w:top w:val="none"/>
              <w:left w:val="none"/>
              <w:bottom w:val="none"/>
              <w:right w:val="none"/>
            </w:tcBorders>
            <w:tcMar>
              <w:top w:type="dxa" w:w="40"/>
              <w:bottom w:type="dxa" w:w="40"/>
            </w:tcMar>
          </w:tcPr>
          <w:p>
            <w:pPr>
              <w:jc w:val="center"/>
            </w:pPr>
            <w:r>
              <w:rPr>
                <w:b/>
                <w:bCs/>
                <w:sz w:val="28"/>
                <w:szCs w:val="28"/>
              </w:rPr>
              <w:t xml:space="preserve">↓</w:t>
            </w:r>
          </w:p>
        </w:tc>
      </w:tr>
      <w:tr>
        <w:tc>
          <w:tcPr>
            <w:shd w:fill="F3F4F6" w:val="clear"/>
            <w:tcMar>
              <w:top w:type="dxa" w:w="100"/>
              <w:left w:type="dxa" w:w="200"/>
              <w:bottom w:type="dxa" w:w="100"/>
              <w:right w:type="dxa" w:w="200"/>
            </w:tcMar>
          </w:tcPr>
          <w:p>
            <w:pPr>
              <w:jc w:val="center"/>
            </w:pPr>
            <w:r>
              <w:rPr>
                <w:i/>
                <w:iCs/>
                <w:sz w:val="16"/>
                <w:szCs w:val="16"/>
              </w:rPr>
              <w:t xml:space="preserve">[ One Glue Workflow orchestrates both Glue nodes below -- schedule + sequencing, no EventBridge ]</w:t>
            </w:r>
          </w:p>
        </w:tc>
      </w:tr>
      <w:tr>
        <w:tc>
          <w:tcPr>
            <w:shd w:fill="2DD4BF" w:val="clear"/>
            <w:tcMar>
              <w:top w:type="dxa" w:w="150"/>
              <w:left w:type="dxa" w:w="200"/>
              <w:bottom w:type="dxa" w:w="150"/>
              <w:right w:type="dxa" w:w="200"/>
            </w:tcMar>
          </w:tcPr>
          <w:p>
            <w:pPr>
              <w:jc w:val="center"/>
            </w:pPr>
            <w:r>
              <w:rPr>
                <w:b/>
                <w:bCs/>
                <w:sz w:val="24"/>
                <w:szCs w:val="24"/>
              </w:rPr>
              <w:t xml:space="preserve">Glue Python Shell -- Ingestion</w:t>
            </w:r>
          </w:p>
          <w:p>
            <w:pPr>
              <w:jc w:val="center"/>
            </w:pPr>
            <w:r>
              <w:rPr>
                <w:sz w:val="18"/>
                <w:szCs w:val="18"/>
              </w:rPr>
              <w:t xml:space="preserve">Incremental via Drive API + DynamoDB watermark</w:t>
            </w:r>
          </w:p>
        </w:tc>
      </w:tr>
      <w:tr>
        <w:tc>
          <w:tcPr>
            <w:tcBorders>
              <w:top w:val="none"/>
              <w:left w:val="none"/>
              <w:bottom w:val="none"/>
              <w:right w:val="none"/>
            </w:tcBorders>
            <w:tcMar>
              <w:top w:type="dxa" w:w="40"/>
              <w:bottom w:type="dxa" w:w="40"/>
            </w:tcMar>
          </w:tcPr>
          <w:p>
            <w:pPr>
              <w:jc w:val="center"/>
            </w:pPr>
            <w:r>
              <w:rPr>
                <w:b/>
                <w:bCs/>
                <w:sz w:val="28"/>
                <w:szCs w:val="28"/>
              </w:rPr>
              <w:t xml:space="preserve">↓</w:t>
            </w:r>
          </w:p>
        </w:tc>
      </w:tr>
      <w:tr>
        <w:tc>
          <w:tcPr>
            <w:shd w:fill="A78BFA" w:val="clear"/>
            <w:tcMar>
              <w:top w:type="dxa" w:w="150"/>
              <w:left w:type="dxa" w:w="200"/>
              <w:bottom w:type="dxa" w:w="150"/>
              <w:right w:type="dxa" w:w="200"/>
            </w:tcMar>
          </w:tcPr>
          <w:p>
            <w:pPr>
              <w:jc w:val="center"/>
            </w:pPr>
            <w:r>
              <w:rPr>
                <w:b/>
                <w:bCs/>
                <w:sz w:val="24"/>
                <w:szCs w:val="24"/>
              </w:rPr>
              <w:t xml:space="preserve">S3 raw zone -- BRONZE</w:t>
            </w:r>
          </w:p>
          <w:p>
            <w:pPr>
              <w:jc w:val="center"/>
            </w:pPr>
            <w:r>
              <w:rPr>
                <w:sz w:val="18"/>
                <w:szCs w:val="18"/>
              </w:rPr>
              <w:t xml:space="preserve">Landing storage, untouched</w:t>
            </w:r>
          </w:p>
        </w:tc>
      </w:tr>
      <w:tr>
        <w:tc>
          <w:tcPr>
            <w:shd w:fill="F3F4F6" w:val="clear"/>
            <w:tcMar>
              <w:top w:type="dxa" w:w="100"/>
              <w:left w:type="dxa" w:w="200"/>
              <w:bottom w:type="dxa" w:w="100"/>
              <w:right w:type="dxa" w:w="200"/>
            </w:tcMar>
          </w:tcPr>
          <w:p>
            <w:pPr>
              <w:jc w:val="center"/>
            </w:pPr>
            <w:r>
              <w:rPr>
                <w:i/>
                <w:iCs/>
                <w:sz w:val="16"/>
                <w:szCs w:val="16"/>
              </w:rPr>
              <w:t xml:space="preserve">Tables: pbj_daily_nurse_staffing_raw</w:t>
            </w:r>
          </w:p>
          <w:p>
            <w:pPr>
              <w:jc w:val="center"/>
            </w:pPr>
            <w:r>
              <w:rPr>
                <w:i/>
                <w:iCs/>
                <w:sz w:val="16"/>
                <w:szCs w:val="16"/>
              </w:rPr>
              <w:t xml:space="preserve">nh_providerinfo_raw</w:t>
            </w:r>
          </w:p>
          <w:p>
            <w:pPr>
              <w:jc w:val="center"/>
            </w:pPr>
            <w:r>
              <w:rPr>
                <w:i/>
                <w:iCs/>
                <w:sz w:val="16"/>
                <w:szCs w:val="16"/>
              </w:rPr>
              <w:t xml:space="preserve">qrp_provider_data_raw</w:t>
            </w:r>
          </w:p>
        </w:tc>
      </w:tr>
      <w:tr>
        <w:tc>
          <w:tcPr>
            <w:tcBorders>
              <w:top w:val="none"/>
              <w:left w:val="none"/>
              <w:bottom w:val="none"/>
              <w:right w:val="none"/>
            </w:tcBorders>
            <w:tcMar>
              <w:top w:type="dxa" w:w="40"/>
              <w:bottom w:type="dxa" w:w="40"/>
            </w:tcMar>
          </w:tcPr>
          <w:p>
            <w:pPr>
              <w:jc w:val="center"/>
            </w:pPr>
            <w:r>
              <w:rPr>
                <w:b/>
                <w:bCs/>
                <w:sz w:val="28"/>
                <w:szCs w:val="28"/>
              </w:rPr>
              <w:t xml:space="preserve">↓</w:t>
            </w:r>
          </w:p>
        </w:tc>
      </w:tr>
      <w:tr>
        <w:tc>
          <w:tcPr>
            <w:shd w:fill="2DD4BF" w:val="clear"/>
            <w:tcMar>
              <w:top w:type="dxa" w:w="150"/>
              <w:left w:type="dxa" w:w="200"/>
              <w:bottom w:type="dxa" w:w="150"/>
              <w:right w:type="dxa" w:w="200"/>
            </w:tcMar>
          </w:tcPr>
          <w:p>
            <w:pPr>
              <w:jc w:val="center"/>
            </w:pPr>
            <w:r>
              <w:rPr>
                <w:b/>
                <w:bCs/>
                <w:sz w:val="24"/>
                <w:szCs w:val="24"/>
              </w:rPr>
              <w:t xml:space="preserve">Glue Python Shell -- Transformation</w:t>
            </w:r>
          </w:p>
          <w:p>
            <w:pPr>
              <w:jc w:val="center"/>
            </w:pPr>
            <w:r>
              <w:rPr>
                <w:sz w:val="18"/>
                <w:szCs w:val="18"/>
              </w:rPr>
              <w:t xml:space="preserve">Clean, fix CCN, standardize columns, dedupe, write Parquet</w:t>
            </w:r>
          </w:p>
        </w:tc>
      </w:tr>
      <w:tr>
        <w:tc>
          <w:tcPr>
            <w:shd w:fill="F3F4F6" w:val="clear"/>
            <w:tcMar>
              <w:top w:type="dxa" w:w="100"/>
              <w:left w:type="dxa" w:w="200"/>
              <w:bottom w:type="dxa" w:w="100"/>
              <w:right w:type="dxa" w:w="200"/>
            </w:tcMar>
          </w:tcPr>
          <w:p>
            <w:pPr>
              <w:jc w:val="center"/>
            </w:pPr>
            <w:r>
              <w:rPr>
                <w:i/>
                <w:iCs/>
                <w:sz w:val="16"/>
                <w:szCs w:val="16"/>
              </w:rPr>
              <w:t xml:space="preserve">[ End of Glue Workflow scope ]</w:t>
            </w:r>
          </w:p>
        </w:tc>
      </w:tr>
      <w:tr>
        <w:tc>
          <w:tcPr>
            <w:tcBorders>
              <w:top w:val="none"/>
              <w:left w:val="none"/>
              <w:bottom w:val="none"/>
              <w:right w:val="none"/>
            </w:tcBorders>
            <w:tcMar>
              <w:top w:type="dxa" w:w="40"/>
              <w:bottom w:type="dxa" w:w="40"/>
            </w:tcMar>
          </w:tcPr>
          <w:p>
            <w:pPr>
              <w:jc w:val="center"/>
            </w:pPr>
            <w:r>
              <w:rPr>
                <w:b/>
                <w:bCs/>
                <w:sz w:val="28"/>
                <w:szCs w:val="28"/>
              </w:rPr>
              <w:t xml:space="preserve">↓</w:t>
            </w:r>
          </w:p>
        </w:tc>
      </w:tr>
      <w:tr>
        <w:tc>
          <w:tcPr>
            <w:shd w:fill="A78BFA" w:val="clear"/>
            <w:tcMar>
              <w:top w:type="dxa" w:w="150"/>
              <w:left w:type="dxa" w:w="200"/>
              <w:bottom w:type="dxa" w:w="150"/>
              <w:right w:type="dxa" w:w="200"/>
            </w:tcMar>
          </w:tcPr>
          <w:p>
            <w:pPr>
              <w:jc w:val="center"/>
            </w:pPr>
            <w:r>
              <w:rPr>
                <w:b/>
                <w:bCs/>
                <w:sz w:val="24"/>
                <w:szCs w:val="24"/>
              </w:rPr>
              <w:t xml:space="preserve">S3 processed zone -- SILVER</w:t>
            </w:r>
          </w:p>
          <w:p>
            <w:pPr>
              <w:jc w:val="center"/>
            </w:pPr>
            <w:r>
              <w:rPr>
                <w:sz w:val="18"/>
                <w:szCs w:val="18"/>
              </w:rPr>
              <w:t xml:space="preserve">Cleaned, standardized Parquet</w:t>
            </w:r>
          </w:p>
        </w:tc>
      </w:tr>
      <w:tr>
        <w:tc>
          <w:tcPr>
            <w:shd w:fill="F3F4F6" w:val="clear"/>
            <w:tcMar>
              <w:top w:type="dxa" w:w="100"/>
              <w:left w:type="dxa" w:w="200"/>
              <w:bottom w:type="dxa" w:w="100"/>
              <w:right w:type="dxa" w:w="200"/>
            </w:tcMar>
          </w:tcPr>
          <w:p>
            <w:pPr>
              <w:jc w:val="center"/>
            </w:pPr>
            <w:r>
              <w:rPr>
                <w:i/>
                <w:iCs/>
                <w:sz w:val="16"/>
                <w:szCs w:val="16"/>
              </w:rPr>
              <w:t xml:space="preserve">Tables: pbj_daily_nurse_staffing</w:t>
            </w:r>
          </w:p>
          <w:p>
            <w:pPr>
              <w:jc w:val="center"/>
            </w:pPr>
            <w:r>
              <w:rPr>
                <w:i/>
                <w:iCs/>
                <w:sz w:val="16"/>
                <w:szCs w:val="16"/>
              </w:rPr>
              <w:t xml:space="preserve">nh_providerinfo</w:t>
            </w:r>
          </w:p>
          <w:p>
            <w:pPr>
              <w:jc w:val="center"/>
            </w:pPr>
            <w:r>
              <w:rPr>
                <w:i/>
                <w:iCs/>
                <w:sz w:val="16"/>
                <w:szCs w:val="16"/>
              </w:rPr>
              <w:t xml:space="preserve">qrp_provider_data</w:t>
            </w:r>
          </w:p>
        </w:tc>
      </w:tr>
      <w:tr>
        <w:tc>
          <w:tcPr>
            <w:tcBorders>
              <w:top w:val="none"/>
              <w:left w:val="none"/>
              <w:bottom w:val="none"/>
              <w:right w:val="none"/>
            </w:tcBorders>
            <w:tcMar>
              <w:top w:type="dxa" w:w="40"/>
              <w:bottom w:type="dxa" w:w="40"/>
            </w:tcMar>
          </w:tcPr>
          <w:p>
            <w:pPr>
              <w:jc w:val="center"/>
            </w:pPr>
            <w:r>
              <w:rPr>
                <w:b/>
                <w:bCs/>
                <w:sz w:val="28"/>
                <w:szCs w:val="28"/>
              </w:rPr>
              <w:t xml:space="preserve">↓</w:t>
            </w:r>
          </w:p>
        </w:tc>
      </w:tr>
      <w:tr>
        <w:tc>
          <w:tcPr>
            <w:shd w:fill="F472B6" w:val="clear"/>
            <w:tcMar>
              <w:top w:type="dxa" w:w="150"/>
              <w:left w:type="dxa" w:w="200"/>
              <w:bottom w:type="dxa" w:w="150"/>
              <w:right w:type="dxa" w:w="200"/>
            </w:tcMar>
          </w:tcPr>
          <w:p>
            <w:pPr>
              <w:jc w:val="center"/>
            </w:pPr>
            <w:r>
              <w:rPr>
                <w:b/>
                <w:bCs/>
                <w:sz w:val="24"/>
                <w:szCs w:val="24"/>
              </w:rPr>
              <w:t xml:space="preserve">Streamlit + DuckDB</w:t>
            </w:r>
          </w:p>
          <w:p>
            <w:pPr>
              <w:jc w:val="center"/>
            </w:pPr>
            <w:r>
              <w:rPr>
                <w:sz w:val="18"/>
                <w:szCs w:val="18"/>
              </w:rPr>
              <w:t xml:space="preserve">Live SQL queries directly against S3 Parquet files</w:t>
            </w:r>
          </w:p>
        </w:tc>
      </w:tr>
    </w:tbl>
    <w:p>
      <w:pPr>
        <w:pStyle w:val="Heading2"/>
        <w:spacing w:after="150" w:before="400"/>
      </w:pPr>
      <w:r>
        <w:t xml:space="preserve">Key confirmation</w:t>
      </w:r>
    </w:p>
    <w:p>
      <w:r>
        <w:t xml:space="preserve">This architecture satisfies the project requirement to "ingest data from Google Drive incrementally": only new or modified files (detected via Google Drive's modifiedTime, checked against a DynamoDB watermark) are pulled on each scheduled run -- never a full re-sync of the entire Drive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2026-09-22T17:46:22.463Z</dcterms:created>
  <dcterms:modified xsi:type="dcterms:W3CDTF">2026-09-22T17:46:22.474Z</dcterms:modified>
</cp:coreProperties>
</file>

<file path=docProps/custom.xml><?xml version="1.0" encoding="utf-8"?>
<Properties xmlns="http://schemas.openxmlformats.org/officeDocument/2006/custom-properties" xmlns:vt="http://schemas.openxmlformats.org/officeDocument/2006/docPropsVTypes"/>
</file>