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IcebergRouter</w:t>
      </w:r>
    </w:p>
    <w:p>
      <w:pPr>
        <w:pStyle w:val="PageSubtitle"/>
      </w:pPr>
      <w:r>
        <w:t>Implementation Blueprint | Audited revision 2</w:t>
      </w:r>
    </w:p>
    <w:p>
      <w:r>
        <w:t>Budgeted experimental design for compound inference policies</w:t>
      </w:r>
    </w:p>
    <w:p>
      <w:r>
        <w:t>Python reference service • Java and TypeScript clients • Later portable policy evaluation</w:t>
      </w:r>
    </w:p>
    <w:p>
      <w:pPr>
        <w:pStyle w:val="AuditNote"/>
        <w:shd w:fill="EAF2F3"/>
      </w:pPr>
      <w:r>
        <w:t>Research-readiness audit, 15 September 2026. This is a corrected implementation specification, not evidence that Iceberg outperforms existing routers.</w:t>
      </w:r>
    </w:p>
    <w:p>
      <w:pPr>
        <w:pStyle w:val="Heading2"/>
      </w:pPr>
      <w:r>
        <w:t>Decision</w:t>
      </w:r>
    </w:p>
    <w:p>
      <w:r>
        <w:t>Proceed with a smaller, controlled prototype. Preserve the compute-first intuition, but do not claim that clustering, probing, workload budgeting, vectors, graphs, or a router-of-routers are individually new. The strongest initial test is whether a better evidence-acquisition policy beats WISERouter when both choose from exactly the same bounded computation options.</w:t>
      </w:r>
    </w:p>
    <w:p>
      <w:pPr>
        <w:pStyle w:val="Heading2"/>
      </w:pPr>
      <w:r>
        <w:t>What this revision changes</w:t>
      </w:r>
    </w:p>
    <w:p>
      <w:r>
        <w:t>The original 19-section organization and 20-page structure are retained. Budget admission is separated from expected-cost optimization; workflow branching is made explicit; cross-language inconsistencies are removed from the contract; newer baselines are added; and publication becomes an evidence-gated sequence rather than a predetermined series of papers.</w:t>
      </w:r>
    </w:p>
    <w:p>
      <w:pPr>
        <w:pStyle w:val="Heading2"/>
      </w:pPr>
      <w:r>
        <w:t>Review basis and limits</w:t>
      </w:r>
    </w:p>
    <w:p>
      <w:r>
        <w:t>Basis: the supplied IcebergRouter_Implementation_Blueprint.docx, its selector skeletons, and primary papers/repository documentation checked on 15 September 2026. Three small selector-rule counterexamples were executed in Python, Java, and TypeScript. No live model-quality benchmark, upstream reproduction, security certification, or end-to-end router test was performed.</w:t>
      </w:r>
    </w:p>
    <w:p>
      <w:r>
        <w:t>Source identifiers [S1]–[S15] resolve in the companion audit register. Short source locators are included on page 20. The original document remains unchanged.</w:t>
      </w:r>
    </w:p>
    <w:p>
      <w:pPr>
        <w:pStyle w:val="AuditNote"/>
        <w:shd w:fill="EAF2F3"/>
      </w:pPr>
      <w:r>
        <w:t>Implementation rule: every additional mechanism must beat an equal-resource baseline after its own learning, checking, and serving costs are counted.</w:t>
      </w:r>
    </w:p>
    <w:p>
      <w:r>
        <w:br w:type="page"/>
      </w:r>
    </w:p>
    <w:p>
      <w:pPr>
        <w:pStyle w:val="Heading1"/>
      </w:pPr>
      <w:r>
        <w:t>1. Build Thesis and Scope</w:t>
      </w:r>
    </w:p>
    <w:p>
      <w:pPr>
        <w:pStyle w:val="PageSubtitle"/>
      </w:pPr>
      <w:r>
        <w:t>Narrow the claim before expanding the architecture</w:t>
      </w:r>
    </w:p>
    <w:p>
      <w:pPr>
        <w:pStyle w:val="Heading2"/>
      </w:pPr>
      <w:r>
        <w:t>Research question</w:t>
      </w:r>
    </w:p>
    <w:p>
      <w:r>
        <w:t>Can workload-aware acquisition of execution evidence improve total task utility under a realized-spend cap, relative to established allocation methods given the same compound inference options? A compound option is a frozen, bounded policy that can contain a deterministic tool, retrieval, an LLM, verification, and conditional escalation.</w:t>
      </w:r>
    </w:p>
    <w:p>
      <w:r>
        <w:t>This is narrower than “a new class above all routers.” A fixed workflow can already be represented as an arm in an existing bandit formulation. Allowing more actions is an architecture extension; it is not, by itself, a new learning algorithm. WISERouter is therefore both a baseline and a possible reusable allocator, not an inferior special case to assume away. [S1]</w:t>
      </w:r>
    </w:p>
    <w:p>
      <w:pPr>
        <w:pStyle w:val="Heading2"/>
      </w:pPr>
      <w:r>
        <w:t>Two distinct promises</w:t>
      </w:r>
    </w:p>
    <w:p>
      <w:pPr>
        <w:pStyle w:val="CodeBlock"/>
        <w:shd w:fill="F1F5F7"/>
      </w:pPr>
      <w:r>
        <w:rPr>
          <w:rFonts w:ascii="Liberation Mono" w:hAnsi="Liberation Mono"/>
          <w:sz w:val="16"/>
        </w:rPr>
        <w:t>Statistical objective: maximize E[sum of terminal task utilities].</w:t>
        <w:br/>
        <w:t>Operational constraint: settled liability + outstanding holds &lt;= B.</w:t>
        <w:br/>
        <w:t>Service constraint: report coverage, rejection, deferral, and failure.</w:t>
        <w:br/>
        <w:t>A hard cash cap does not guarantee every task can be answered well.</w:t>
      </w:r>
    </w:p>
    <w:p>
      <w:r>
        <w:t>The operational statement is conditional on enforced per-call cost bounds, complete interception of billable actions, reliable accounting, and durable atomic reservations. Expected-cost penalties alone cannot establish it. If a provider cannot offer a bounded billing contract, that action is excluded from the strict-budget mode.</w:t>
      </w:r>
    </w:p>
    <w:p>
      <w:pPr>
        <w:pStyle w:val="Heading2"/>
      </w:pPr>
      <w:r>
        <w:t>First-release scope</w:t>
      </w:r>
    </w:p>
    <w:p>
      <w:r>
        <w:t>Use one Python authority, one gateway adapter, a small fixed option registry, and two or three task families. Treat deterministic-tool applicability as a validated precondition, not a semantic resemblance. Freeze models, generation settings, prompt templates, and verifiers for each experiment epoch.</w:t>
      </w:r>
    </w:p>
    <w:p>
      <w:r>
        <w:t>Postpone unrestricted graph search, trainable path encoders, nested online learners, personalized user embeddings, and independent JVM/Node execution. First compare tool-first rules, WISERouter-style allocation, and Iceberg on the same option set.</w:t>
      </w:r>
    </w:p>
    <w:p>
      <w:pPr>
        <w:pStyle w:val="AuditNote"/>
        <w:shd w:fill="EAF2F3"/>
      </w:pPr>
      <w:r>
        <w:t>Falsification: if equal-option WISERouter or a simple rule policy matches Iceberg after exploration overhead, retain the useful runtime and revise the research claim.</w:t>
      </w:r>
    </w:p>
    <w:p>
      <w:r>
        <w:br w:type="page"/>
      </w:r>
    </w:p>
    <w:p>
      <w:pPr>
        <w:pStyle w:val="Heading1"/>
      </w:pPr>
      <w:r>
        <w:t>2. Repository Landscape and Selection</w:t>
      </w:r>
    </w:p>
    <w:p>
      <w:pPr>
        <w:pStyle w:val="PageSubtitle"/>
      </w:pPr>
      <w:r>
        <w:t>Replace the incomplete baseline list with a defensible comparison set</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088"/>
            <w:shd w:fill="19324A"/>
            <w:tcMar>
              <w:top w:w="65" w:type="dxa"/>
              <w:bottom w:w="65" w:type="dxa"/>
              <w:left w:w="65" w:type="dxa"/>
              <w:right w:w="65" w:type="dxa"/>
            </w:tcMar>
          </w:tcPr>
          <w:p>
            <w:pPr>
              <w:spacing w:after="60" w:before="20" w:line="240" w:lineRule="auto"/>
            </w:pPr>
            <w:r>
              <w:rPr>
                <w:b/>
                <w:color w:val="FFFFFF"/>
                <w:sz w:val="18"/>
              </w:rPr>
              <w:t>System / evidence</w:t>
            </w:r>
          </w:p>
        </w:tc>
        <w:tc>
          <w:tcPr>
            <w:tcW w:type="dxa" w:w="4176"/>
            <w:shd w:fill="19324A"/>
            <w:tcMar>
              <w:top w:w="65" w:type="dxa"/>
              <w:bottom w:w="65" w:type="dxa"/>
              <w:left w:w="65" w:type="dxa"/>
              <w:right w:w="65" w:type="dxa"/>
            </w:tcMar>
          </w:tcPr>
          <w:p>
            <w:pPr>
              <w:spacing w:after="60" w:before="20" w:line="240" w:lineRule="auto"/>
            </w:pPr>
            <w:r>
              <w:rPr>
                <w:b/>
                <w:color w:val="FFFFFF"/>
                <w:sz w:val="18"/>
              </w:rPr>
              <w:t>Overlap or missing comparison</w:t>
            </w:r>
          </w:p>
        </w:tc>
        <w:tc>
          <w:tcPr>
            <w:tcW w:type="dxa" w:w="3960"/>
            <w:shd w:fill="19324A"/>
            <w:tcMar>
              <w:top w:w="65" w:type="dxa"/>
              <w:bottom w:w="65" w:type="dxa"/>
              <w:left w:w="65" w:type="dxa"/>
              <w:right w:w="65" w:type="dxa"/>
            </w:tcMar>
          </w:tcPr>
          <w:p>
            <w:pPr>
              <w:spacing w:after="60" w:before="20" w:line="240" w:lineRule="auto"/>
            </w:pPr>
            <w:r>
              <w:rPr>
                <w:b/>
                <w:color w:val="FFFFFF"/>
                <w:sz w:val="18"/>
              </w:rPr>
              <w:t>Implementation decision</w:t>
            </w:r>
          </w:p>
        </w:tc>
      </w:tr>
      <w:tr>
        <w:trPr>
          <w:cantSplit/>
        </w:trPr>
        <w:tc>
          <w:tcPr>
            <w:tcW w:type="dxa" w:w="2088"/>
            <w:shd w:fill="EFF4F6"/>
            <w:tcMar>
              <w:top w:w="65" w:type="dxa"/>
              <w:bottom w:w="65" w:type="dxa"/>
              <w:left w:w="65" w:type="dxa"/>
              <w:right w:w="65" w:type="dxa"/>
            </w:tcMar>
          </w:tcPr>
          <w:p>
            <w:pPr>
              <w:spacing w:after="60" w:before="20" w:line="240" w:lineRule="auto"/>
            </w:pPr>
            <w:r>
              <w:rPr>
                <w:b w:val="0"/>
                <w:sz w:val="18"/>
              </w:rPr>
              <w:t>WISERouter [S1]</w:t>
            </w:r>
          </w:p>
        </w:tc>
        <w:tc>
          <w:tcPr>
            <w:tcW w:type="dxa" w:w="4176"/>
            <w:shd w:fill="EFF4F6"/>
            <w:tcMar>
              <w:top w:w="65" w:type="dxa"/>
              <w:bottom w:w="65" w:type="dxa"/>
              <w:left w:w="65" w:type="dxa"/>
              <w:right w:w="65" w:type="dxa"/>
            </w:tcMar>
          </w:tcPr>
          <w:p>
            <w:pPr>
              <w:spacing w:after="60" w:before="20" w:line="240" w:lineRule="auto"/>
            </w:pPr>
            <w:r>
              <w:rPr>
                <w:b w:val="0"/>
                <w:sz w:val="18"/>
              </w:rPr>
              <w:t>Embedding clusters; epsilon-first exploration; adaptive LP; shared expected-cost budget.</w:t>
            </w:r>
          </w:p>
        </w:tc>
        <w:tc>
          <w:tcPr>
            <w:tcW w:type="dxa" w:w="3960"/>
            <w:shd w:fill="EFF4F6"/>
            <w:tcMar>
              <w:top w:w="65" w:type="dxa"/>
              <w:bottom w:w="65" w:type="dxa"/>
              <w:left w:w="65" w:type="dxa"/>
              <w:right w:w="65" w:type="dxa"/>
            </w:tcMar>
          </w:tcPr>
          <w:p>
            <w:pPr>
              <w:spacing w:after="60" w:before="20" w:line="240" w:lineRule="auto"/>
            </w:pPr>
            <w:r>
              <w:rPr>
                <w:b w:val="0"/>
                <w:sz w:val="18"/>
              </w:rPr>
              <w:t>Mandatory reimplementation/reference. Official author code not verified in this audit.</w:t>
            </w:r>
          </w:p>
        </w:tc>
      </w:tr>
      <w:tr>
        <w:trPr>
          <w:cantSplit/>
        </w:trPr>
        <w:tc>
          <w:tcPr>
            <w:tcW w:type="dxa" w:w="2088"/>
            <w:shd w:fill="F8FAFB"/>
            <w:tcMar>
              <w:top w:w="65" w:type="dxa"/>
              <w:bottom w:w="65" w:type="dxa"/>
              <w:left w:w="65" w:type="dxa"/>
              <w:right w:w="65" w:type="dxa"/>
            </w:tcMar>
          </w:tcPr>
          <w:p>
            <w:pPr>
              <w:spacing w:after="60" w:before="20" w:line="240" w:lineRule="auto"/>
            </w:pPr>
            <w:r>
              <w:rPr>
                <w:b w:val="0"/>
                <w:sz w:val="18"/>
              </w:rPr>
              <w:t>Cascade Routing [S2]</w:t>
            </w:r>
          </w:p>
        </w:tc>
        <w:tc>
          <w:tcPr>
            <w:tcW w:type="dxa" w:w="4176"/>
            <w:shd w:fill="F8FAFB"/>
            <w:tcMar>
              <w:top w:w="65" w:type="dxa"/>
              <w:bottom w:w="65" w:type="dxa"/>
              <w:left w:w="65" w:type="dxa"/>
              <w:right w:w="65" w:type="dxa"/>
            </w:tcMar>
          </w:tcPr>
          <w:p>
            <w:pPr>
              <w:spacing w:after="60" w:before="20" w:line="240" w:lineRule="auto"/>
            </w:pPr>
            <w:r>
              <w:rPr>
                <w:b w:val="0"/>
                <w:sz w:val="18"/>
              </w:rPr>
              <w:t>Established unification of routing and sequential cascading.</w:t>
            </w:r>
          </w:p>
        </w:tc>
        <w:tc>
          <w:tcPr>
            <w:tcW w:type="dxa" w:w="3960"/>
            <w:shd w:fill="F8FAFB"/>
            <w:tcMar>
              <w:top w:w="65" w:type="dxa"/>
              <w:bottom w:w="65" w:type="dxa"/>
              <w:left w:w="65" w:type="dxa"/>
              <w:right w:w="65" w:type="dxa"/>
            </w:tcMar>
          </w:tcPr>
          <w:p>
            <w:pPr>
              <w:spacing w:after="60" w:before="20" w:line="240" w:lineRule="auto"/>
            </w:pPr>
            <w:r>
              <w:rPr>
                <w:b w:val="0"/>
                <w:sz w:val="18"/>
              </w:rPr>
              <w:t>Clone eth-sri/cascade-routing; reproduce a bounded cascade baseline.</w:t>
            </w:r>
          </w:p>
        </w:tc>
      </w:tr>
      <w:tr>
        <w:trPr>
          <w:cantSplit/>
        </w:trPr>
        <w:tc>
          <w:tcPr>
            <w:tcW w:type="dxa" w:w="2088"/>
            <w:shd w:fill="EFF4F6"/>
            <w:tcMar>
              <w:top w:w="65" w:type="dxa"/>
              <w:bottom w:w="65" w:type="dxa"/>
              <w:left w:w="65" w:type="dxa"/>
              <w:right w:w="65" w:type="dxa"/>
            </w:tcMar>
          </w:tcPr>
          <w:p>
            <w:pPr>
              <w:spacing w:after="60" w:before="20" w:line="240" w:lineRule="auto"/>
            </w:pPr>
            <w:r>
              <w:rPr>
                <w:b w:val="0"/>
                <w:sz w:val="18"/>
              </w:rPr>
              <w:t>PILOT [S3]</w:t>
            </w:r>
          </w:p>
        </w:tc>
        <w:tc>
          <w:tcPr>
            <w:tcW w:type="dxa" w:w="4176"/>
            <w:shd w:fill="EFF4F6"/>
            <w:tcMar>
              <w:top w:w="65" w:type="dxa"/>
              <w:bottom w:w="65" w:type="dxa"/>
              <w:left w:w="65" w:type="dxa"/>
              <w:right w:w="65" w:type="dxa"/>
            </w:tcMar>
          </w:tcPr>
          <w:p>
            <w:pPr>
              <w:spacing w:after="60" w:before="20" w:line="240" w:lineRule="auto"/>
            </w:pPr>
            <w:r>
              <w:rPr>
                <w:b w:val="0"/>
                <w:sz w:val="18"/>
              </w:rPr>
              <w:t>Query/model representations, preference priors, bandit feedback, budget allocation.</w:t>
            </w:r>
          </w:p>
        </w:tc>
        <w:tc>
          <w:tcPr>
            <w:tcW w:type="dxa" w:w="3960"/>
            <w:shd w:fill="EFF4F6"/>
            <w:tcMar>
              <w:top w:w="65" w:type="dxa"/>
              <w:bottom w:w="65" w:type="dxa"/>
              <w:left w:w="65" w:type="dxa"/>
              <w:right w:w="65" w:type="dxa"/>
            </w:tcMar>
          </w:tcPr>
          <w:p>
            <w:pPr>
              <w:spacing w:after="60" w:before="20" w:line="240" w:lineRule="auto"/>
            </w:pPr>
            <w:r>
              <w:rPr>
                <w:b w:val="0"/>
                <w:sz w:val="18"/>
              </w:rPr>
              <w:t>Mandatory conceptual comparison; add implementation when reproducible.</w:t>
            </w:r>
          </w:p>
        </w:tc>
      </w:tr>
      <w:tr>
        <w:trPr>
          <w:cantSplit/>
        </w:trPr>
        <w:tc>
          <w:tcPr>
            <w:tcW w:type="dxa" w:w="2088"/>
            <w:shd w:fill="F8FAFB"/>
            <w:tcMar>
              <w:top w:w="65" w:type="dxa"/>
              <w:bottom w:w="65" w:type="dxa"/>
              <w:left w:w="65" w:type="dxa"/>
              <w:right w:w="65" w:type="dxa"/>
            </w:tcMar>
          </w:tcPr>
          <w:p>
            <w:pPr>
              <w:spacing w:after="60" w:before="20" w:line="240" w:lineRule="auto"/>
            </w:pPr>
            <w:r>
              <w:rPr>
                <w:b w:val="0"/>
                <w:sz w:val="18"/>
              </w:rPr>
              <w:t>R2-Router [S4]</w:t>
            </w:r>
          </w:p>
        </w:tc>
        <w:tc>
          <w:tcPr>
            <w:tcW w:type="dxa" w:w="4176"/>
            <w:shd w:fill="F8FAFB"/>
            <w:tcMar>
              <w:top w:w="65" w:type="dxa"/>
              <w:bottom w:w="65" w:type="dxa"/>
              <w:left w:w="65" w:type="dxa"/>
              <w:right w:w="65" w:type="dxa"/>
            </w:tcMar>
          </w:tcPr>
          <w:p>
            <w:pPr>
              <w:spacing w:after="60" w:before="20" w:line="240" w:lineRule="auto"/>
            </w:pPr>
            <w:r>
              <w:rPr>
                <w:b w:val="0"/>
                <w:sz w:val="18"/>
              </w:rPr>
              <w:t>Joint choice of model and output-length budget.</w:t>
            </w:r>
          </w:p>
        </w:tc>
        <w:tc>
          <w:tcPr>
            <w:tcW w:type="dxa" w:w="3960"/>
            <w:shd w:fill="F8FAFB"/>
            <w:tcMar>
              <w:top w:w="65" w:type="dxa"/>
              <w:bottom w:w="65" w:type="dxa"/>
              <w:left w:w="65" w:type="dxa"/>
              <w:right w:w="65" w:type="dxa"/>
            </w:tcMar>
          </w:tcPr>
          <w:p>
            <w:pPr>
              <w:spacing w:after="60" w:before="20" w:line="240" w:lineRule="auto"/>
            </w:pPr>
            <w:r>
              <w:rPr>
                <w:b w:val="0"/>
                <w:sz w:val="18"/>
              </w:rPr>
              <w:t>Clone UCF-ML-Research/R2-Router. Include strong-model/short-output options.</w:t>
            </w:r>
          </w:p>
        </w:tc>
      </w:tr>
      <w:tr>
        <w:trPr>
          <w:cantSplit/>
        </w:trPr>
        <w:tc>
          <w:tcPr>
            <w:tcW w:type="dxa" w:w="2088"/>
            <w:shd w:fill="EFF4F6"/>
            <w:tcMar>
              <w:top w:w="65" w:type="dxa"/>
              <w:bottom w:w="65" w:type="dxa"/>
              <w:left w:w="65" w:type="dxa"/>
              <w:right w:w="65" w:type="dxa"/>
            </w:tcMar>
          </w:tcPr>
          <w:p>
            <w:pPr>
              <w:spacing w:after="60" w:before="20" w:line="240" w:lineRule="auto"/>
            </w:pPr>
            <w:r>
              <w:rPr>
                <w:b w:val="0"/>
                <w:sz w:val="18"/>
              </w:rPr>
              <w:t>DART [S5]</w:t>
            </w:r>
          </w:p>
        </w:tc>
        <w:tc>
          <w:tcPr>
            <w:tcW w:type="dxa" w:w="4176"/>
            <w:shd w:fill="EFF4F6"/>
            <w:tcMar>
              <w:top w:w="65" w:type="dxa"/>
              <w:bottom w:w="65" w:type="dxa"/>
              <w:left w:w="65" w:type="dxa"/>
              <w:right w:w="65" w:type="dxa"/>
            </w:tcMar>
          </w:tcPr>
          <w:p>
            <w:pPr>
              <w:spacing w:after="60" w:before="20" w:line="240" w:lineRule="auto"/>
            </w:pPr>
            <w:r>
              <w:rPr>
                <w:b w:val="0"/>
                <w:sz w:val="18"/>
              </w:rPr>
              <w:t>Cheap draft agreement guides additional reasoning.</w:t>
            </w:r>
          </w:p>
        </w:tc>
        <w:tc>
          <w:tcPr>
            <w:tcW w:type="dxa" w:w="3960"/>
            <w:shd w:fill="EFF4F6"/>
            <w:tcMar>
              <w:top w:w="65" w:type="dxa"/>
              <w:bottom w:w="65" w:type="dxa"/>
              <w:left w:w="65" w:type="dxa"/>
              <w:right w:w="65" w:type="dxa"/>
            </w:tcMar>
          </w:tcPr>
          <w:p>
            <w:pPr>
              <w:spacing w:after="60" w:before="20" w:line="240" w:lineRule="auto"/>
            </w:pPr>
            <w:r>
              <w:rPr>
                <w:b w:val="0"/>
                <w:sz w:val="18"/>
              </w:rPr>
              <w:t>Optional task-matched baseline; clone js-lee-AI/DART.</w:t>
            </w:r>
          </w:p>
        </w:tc>
      </w:tr>
      <w:tr>
        <w:trPr>
          <w:cantSplit/>
        </w:trPr>
        <w:tc>
          <w:tcPr>
            <w:tcW w:type="dxa" w:w="2088"/>
            <w:shd w:fill="F8FAFB"/>
            <w:tcMar>
              <w:top w:w="65" w:type="dxa"/>
              <w:bottom w:w="65" w:type="dxa"/>
              <w:left w:w="65" w:type="dxa"/>
              <w:right w:w="65" w:type="dxa"/>
            </w:tcMar>
          </w:tcPr>
          <w:p>
            <w:pPr>
              <w:spacing w:after="60" w:before="20" w:line="240" w:lineRule="auto"/>
            </w:pPr>
            <w:r>
              <w:rPr>
                <w:b w:val="0"/>
                <w:sz w:val="18"/>
              </w:rPr>
              <w:t>GraphPlanner [S6]</w:t>
            </w:r>
          </w:p>
        </w:tc>
        <w:tc>
          <w:tcPr>
            <w:tcW w:type="dxa" w:w="4176"/>
            <w:shd w:fill="F8FAFB"/>
            <w:tcMar>
              <w:top w:w="65" w:type="dxa"/>
              <w:bottom w:w="65" w:type="dxa"/>
              <w:left w:w="65" w:type="dxa"/>
              <w:right w:w="65" w:type="dxa"/>
            </w:tcMar>
          </w:tcPr>
          <w:p>
            <w:pPr>
              <w:spacing w:after="60" w:before="20" w:line="240" w:lineRule="auto"/>
            </w:pPr>
            <w:r>
              <w:rPr>
                <w:b w:val="0"/>
                <w:sz w:val="18"/>
              </w:rPr>
              <w:t>Graph memory and agentic workflow construction.</w:t>
            </w:r>
          </w:p>
        </w:tc>
        <w:tc>
          <w:tcPr>
            <w:tcW w:type="dxa" w:w="3960"/>
            <w:shd w:fill="F8FAFB"/>
            <w:tcMar>
              <w:top w:w="65" w:type="dxa"/>
              <w:bottom w:w="65" w:type="dxa"/>
              <w:left w:w="65" w:type="dxa"/>
              <w:right w:w="65" w:type="dxa"/>
            </w:tcMar>
          </w:tcPr>
          <w:p>
            <w:pPr>
              <w:spacing w:after="60" w:before="20" w:line="240" w:lineRule="auto"/>
            </w:pPr>
            <w:r>
              <w:rPr>
                <w:b w:val="0"/>
                <w:sz w:val="18"/>
              </w:rPr>
              <w:t>Later workflow comparison, not first-week product dependency.</w:t>
            </w:r>
          </w:p>
        </w:tc>
      </w:tr>
      <w:tr>
        <w:trPr>
          <w:cantSplit/>
        </w:trPr>
        <w:tc>
          <w:tcPr>
            <w:tcW w:type="dxa" w:w="2088"/>
            <w:shd w:fill="EFF4F6"/>
            <w:tcMar>
              <w:top w:w="65" w:type="dxa"/>
              <w:bottom w:w="65" w:type="dxa"/>
              <w:left w:w="65" w:type="dxa"/>
              <w:right w:w="65" w:type="dxa"/>
            </w:tcMar>
          </w:tcPr>
          <w:p>
            <w:pPr>
              <w:spacing w:after="60" w:before="20" w:line="240" w:lineRule="auto"/>
            </w:pPr>
            <w:r>
              <w:rPr>
                <w:b w:val="0"/>
                <w:sz w:val="18"/>
              </w:rPr>
              <w:t>LLMRouterBench [S7]</w:t>
            </w:r>
          </w:p>
        </w:tc>
        <w:tc>
          <w:tcPr>
            <w:tcW w:type="dxa" w:w="4176"/>
            <w:shd w:fill="EFF4F6"/>
            <w:tcMar>
              <w:top w:w="65" w:type="dxa"/>
              <w:bottom w:w="65" w:type="dxa"/>
              <w:left w:w="65" w:type="dxa"/>
              <w:right w:w="65" w:type="dxa"/>
            </w:tcMar>
          </w:tcPr>
          <w:p>
            <w:pPr>
              <w:spacing w:after="60" w:before="20" w:line="240" w:lineRule="auto"/>
            </w:pPr>
            <w:r>
              <w:rPr>
                <w:b w:val="0"/>
                <w:sz w:val="18"/>
              </w:rPr>
              <w:t>Single-generation query/model records and baseline framework.</w:t>
            </w:r>
          </w:p>
        </w:tc>
        <w:tc>
          <w:tcPr>
            <w:tcW w:type="dxa" w:w="3960"/>
            <w:shd w:fill="EFF4F6"/>
            <w:tcMar>
              <w:top w:w="65" w:type="dxa"/>
              <w:bottom w:w="65" w:type="dxa"/>
              <w:left w:w="65" w:type="dxa"/>
              <w:right w:w="65" w:type="dxa"/>
            </w:tcMar>
          </w:tcPr>
          <w:p>
            <w:pPr>
              <w:spacing w:after="60" w:before="20" w:line="240" w:lineRule="auto"/>
            </w:pPr>
            <w:r>
              <w:rPr>
                <w:b w:val="0"/>
                <w:sz w:val="18"/>
              </w:rPr>
              <w:t>First offline data adapter; not a substitute for conditional workflow traces.</w:t>
            </w:r>
          </w:p>
        </w:tc>
      </w:tr>
      <w:tr>
        <w:trPr>
          <w:cantSplit/>
        </w:trPr>
        <w:tc>
          <w:tcPr>
            <w:tcW w:type="dxa" w:w="2088"/>
            <w:shd w:fill="F8FAFB"/>
            <w:tcMar>
              <w:top w:w="65" w:type="dxa"/>
              <w:bottom w:w="65" w:type="dxa"/>
              <w:left w:w="65" w:type="dxa"/>
              <w:right w:w="65" w:type="dxa"/>
            </w:tcMar>
          </w:tcPr>
          <w:p>
            <w:pPr>
              <w:spacing w:after="60" w:before="20" w:line="240" w:lineRule="auto"/>
            </w:pPr>
            <w:r>
              <w:rPr>
                <w:b w:val="0"/>
                <w:sz w:val="18"/>
              </w:rPr>
              <w:t>LLMRouter [S8] / RouteLLM [S15]</w:t>
            </w:r>
          </w:p>
        </w:tc>
        <w:tc>
          <w:tcPr>
            <w:tcW w:type="dxa" w:w="4176"/>
            <w:shd w:fill="F8FAFB"/>
            <w:tcMar>
              <w:top w:w="65" w:type="dxa"/>
              <w:bottom w:w="65" w:type="dxa"/>
              <w:left w:w="65" w:type="dxa"/>
              <w:right w:w="65" w:type="dxa"/>
            </w:tcMar>
          </w:tcPr>
          <w:p>
            <w:pPr>
              <w:spacing w:after="60" w:before="20" w:line="240" w:lineRule="auto"/>
            </w:pPr>
            <w:r>
              <w:rPr>
                <w:b w:val="0"/>
                <w:sz w:val="18"/>
              </w:rPr>
              <w:t>Router development infrastructure / strong-versus-weak routing.</w:t>
            </w:r>
          </w:p>
        </w:tc>
        <w:tc>
          <w:tcPr>
            <w:tcW w:type="dxa" w:w="3960"/>
            <w:shd w:fill="F8FAFB"/>
            <w:tcMar>
              <w:top w:w="65" w:type="dxa"/>
              <w:bottom w:w="65" w:type="dxa"/>
              <w:left w:w="65" w:type="dxa"/>
              <w:right w:w="65" w:type="dxa"/>
            </w:tcMar>
          </w:tcPr>
          <w:p>
            <w:pPr>
              <w:spacing w:after="60" w:before="20" w:line="240" w:lineRule="auto"/>
            </w:pPr>
            <w:r>
              <w:rPr>
                <w:b w:val="0"/>
                <w:sz w:val="18"/>
              </w:rPr>
              <w:t>Reuse adapters and matched baselines rather than duplicate a full toolkit.</w:t>
            </w:r>
          </w:p>
        </w:tc>
      </w:tr>
    </w:tbl>
    <w:p>
      <w:pPr>
        <w:spacing w:after="0"/>
      </w:pPr>
    </w:p>
    <w:p>
      <w:r>
        <w:t>Add a deliberately strong adapted baseline, WR-Path: our implementation of WISERouter-style allocation with each frozen compound option treated as an arm. Give WR-Path and Iceberg identical tools, model settings, verifiers, information access, and the same budget governor. Label WR-Path as our adaptation, not an authors’ result.</w:t>
      </w:r>
    </w:p>
    <w:p>
      <w:pPr>
        <w:pStyle w:val="AuditNote"/>
        <w:shd w:fill="EAF2F3"/>
      </w:pPr>
      <w:r>
        <w:t>Primary novelty risk: “probe first, then allocate” already substantially overlaps with WISERouter. Improvement must come from a specified, measured difference in acquiring or using evidence—not from naming the workflow Iceberg.</w:t>
      </w:r>
    </w:p>
    <w:p>
      <w:r>
        <w:br w:type="page"/>
      </w:r>
    </w:p>
    <w:p>
      <w:pPr>
        <w:pStyle w:val="Heading1"/>
      </w:pPr>
      <w:r>
        <w:t>3. Clone/Fork Strategy and Repository Layout</w:t>
      </w:r>
    </w:p>
    <w:p>
      <w:pPr>
        <w:pStyle w:val="PageSubtitle"/>
      </w:pPr>
      <w:r>
        <w:t>Start with fewer dependencies and a verifiable provenance lock</w:t>
      </w:r>
    </w:p>
    <w:p>
      <w:pPr>
        <w:pStyle w:val="CodeBlock"/>
        <w:shd w:fill="F1F5F7"/>
      </w:pPr>
      <w:r>
        <w:rPr>
          <w:rFonts w:ascii="Liberation Mono" w:hAnsi="Liberation Mono"/>
          <w:sz w:val="16"/>
        </w:rPr>
        <w:t>iceberg-router/</w:t>
        <w:br/>
        <w:t xml:space="preserve">  contracts/           # versioned request, option, event schemas</w:t>
        <w:br/>
        <w:t xml:space="preserve">  python/core/         # governor, executor, statistics, planner</w:t>
        <w:br/>
        <w:t xml:space="preserve">  python/baselines/    # rules, WR, WR-Path, cascade adapters</w:t>
        <w:br/>
        <w:t xml:space="preserve">  experiments/         # splits, budgets, cost accounting, reports</w:t>
        <w:br/>
        <w:t xml:space="preserve">  fixtures/            # failure injection and golden decisions</w:t>
        <w:br/>
        <w:t xml:space="preserve">  java/client/         # thin client first</w:t>
        <w:br/>
        <w:t xml:space="preserve">  typescript/client/   # thin client first</w:t>
        <w:br/>
        <w:t xml:space="preserve">  policies/            # immutable, signed configuration artifacts</w:t>
        <w:br/>
        <w:t xml:space="preserve">  provenance/         # source locks, tariffs, datasets, licenses</w:t>
      </w:r>
    </w:p>
    <w:p>
      <w:pPr>
        <w:pStyle w:val="Heading2"/>
      </w:pPr>
      <w:r>
        <w:t>Initial acquisition</w:t>
      </w:r>
    </w:p>
    <w:p>
      <w:r>
        <w:t>Create our repository; clone LLMRouterBench and Cascade Routing; use RouteLLM or selected LLMRouter adapters for comparison; pin one provider gateway. Add R2-Router before claiming gains over current reasoning-budget routing. Do not fork vLLM Semantic Router or GraphPlanner until a specific integration requirement is demonstrated. [S2, S4, S7, S8, S15]</w:t>
      </w:r>
    </w:p>
    <w:p>
      <w:pPr>
        <w:pStyle w:val="CodeBlock"/>
        <w:shd w:fill="F1F5F7"/>
      </w:pPr>
      <w:r>
        <w:rPr>
          <w:rFonts w:ascii="Liberation Mono" w:hAnsi="Liberation Mono"/>
          <w:sz w:val="16"/>
        </w:rPr>
        <w:t># Resolve a chosen reviewed revision, not a floating dependency</w:t>
        <w:br/>
        <w:t>git clone https://github.com/eth-sri/cascade-routing.git vendor/cascade</w:t>
        <w:br/>
        <w:t>git -C vendor/cascade rev-parse HEAD</w:t>
        <w:br/>
        <w:t># Record the returned SHA; review code and dataset licenses separately.</w:t>
      </w:r>
    </w:p>
    <w:p>
      <w:r>
        <w:t>A lock entry must contain canonical repository URL, immutable commit, package versions, model/artifact identifiers, paper version, dataset checksum, license path, review date, and whether the adapter is original or independently reproduced. A paper license does not grant code or dataset redistribution rights.</w:t>
      </w:r>
    </w:p>
    <w:p>
      <w:pPr>
        <w:pStyle w:val="Heading2"/>
      </w:pPr>
      <w:r>
        <w:t>Infrastructure boundaries</w:t>
      </w:r>
    </w:p>
    <w:p>
      <w:r>
        <w:t>LiteLLM is an optional external gateway, not proof of a universal monetary cap. Its documentation identifies enforcement limits that need adapter-specific handling. Phoenix is optional observability infrastructure; its repository lists Elastic License 2.0 and an intellectual-property notice, so do not categorize all recommended infrastructure as permissively licensed. Keep trace export replaceable. [S10, S11]</w:t>
      </w:r>
    </w:p>
    <w:p>
      <w:pPr>
        <w:pStyle w:val="AuditNote"/>
        <w:shd w:fill="EAF2F3"/>
      </w:pPr>
      <w:r>
        <w:t>Do not substitute similarly named “Wise Router” commercial or hackathon repositories for the WISERouter paper. Official implementation availability remains an unresolved provenance item.</w:t>
      </w:r>
    </w:p>
    <w:p>
      <w:r>
        <w:br w:type="page"/>
      </w:r>
    </w:p>
    <w:p>
      <w:pPr>
        <w:pStyle w:val="Heading1"/>
      </w:pPr>
      <w:r>
        <w:t>4. Runtime Architecture</w:t>
      </w:r>
    </w:p>
    <w:p>
      <w:pPr>
        <w:pStyle w:val="PageSubtitle"/>
      </w:pPr>
      <w:r>
        <w:t>One authority for money; immutable policies for decisions</w:t>
      </w:r>
    </w:p>
    <w:p>
      <w:pPr>
        <w:pStyle w:val="CodeBlock"/>
        <w:shd w:fill="F1F5F7"/>
      </w:pPr>
      <w:r>
        <w:rPr>
          <w:rFonts w:ascii="Liberation Mono" w:hAnsi="Liberation Mono"/>
          <w:sz w:val="16"/>
        </w:rPr>
        <w:t>Request -&gt; authenticated workload context -&gt; applicability gate</w:t>
        <w:br/>
        <w:t xml:space="preserve">        -&gt; budgeted feature acquisition, when needed</w:t>
        <w:br/>
        <w:t xml:space="preserve">        -&gt; score bounded options -&gt; atomic admission</w:t>
        <w:br/>
        <w:t xml:space="preserve">        -&gt; execute guarded conditional workflow</w:t>
        <w:br/>
        <w:t xml:space="preserve">        -&gt; terminal result + usage + pending billing state</w:t>
        <w:br/>
        <w:t xml:space="preserve">        -&gt; append-only decision/outcome journal</w:t>
        <w:br/>
        <w:br/>
        <w:t>Research service: stratify -&gt; probe -&gt; fit/calibrate -&gt; validate</w:t>
        <w:br/>
        <w:t xml:space="preserve">                  -&gt; freeze a new policy epoch -&gt; activate</w:t>
      </w:r>
    </w:p>
    <w:p>
      <w:r>
        <w:t>The planner predicts utility and expected cost. A separate governor authorizes liabilities. Every paid operation—including embedding, retrieval API calls, checking, retries, and an audit—passes through the governor before execution. Paid preprocessing cannot occur before the first reservation simply because it is called “routing overhead.”</w:t>
      </w:r>
    </w:p>
    <w:p>
      <w:pPr>
        <w:pStyle w:val="Heading2"/>
      </w:pPr>
      <w:r>
        <w:t>Gateway behavior is part of the experiment</w:t>
      </w:r>
    </w:p>
    <w:p>
      <w:r>
        <w:t>Disable hidden gateway retries and fallback by default, or register every internal attempt as a separately authorized action. Pin actual model/provider versions and record the resolved endpoint, not just a friendly model alias. Streaming cancellation is an observation about the client connection; it is not proof that the provider stopped billing.</w:t>
      </w:r>
    </w:p>
    <w:p>
      <w:r>
        <w:t>The initial runtime returns a terminal answer, deferred/rejected status, or an explicit failure. It must not silently present an unchecked intermediate draft as a verified answer when a repair cannot be funded. Mark completeness and verification status independently from text availability.</w:t>
      </w:r>
    </w:p>
    <w:p>
      <w:pPr>
        <w:pStyle w:val="Heading2"/>
      </w:pPr>
      <w:r>
        <w:t>Learning without experiment contamination</w:t>
      </w:r>
    </w:p>
    <w:p>
      <w:r>
        <w:t>Research can run asynchronously in the implemented service, but production decisions use a frozen policy epoch. Freeze nested routers too. If an internal router is adapting while the outer router learns, treat that as a later nonstationary-policy experiment rather than importing fixed-arm assumptions.</w:t>
      </w:r>
    </w:p>
    <w:p>
      <w:r>
        <w:t>Java and TypeScript begin as clients of the Python authority. Later portable evaluators consume the same pure policy and scored-candidate contract. Client-local budget estimates are advisory; only the authority can admit spending. Native ports are an engineering milestone, not evidence of research novelty.</w:t>
      </w:r>
    </w:p>
    <w:p>
      <w:pPr>
        <w:pStyle w:val="AuditNote"/>
        <w:shd w:fill="EAF2F3"/>
      </w:pPr>
      <w:r>
        <w:t>Required observability: plan ID, option version, policy epoch, candidate mask, selection propensity, cap/tariff version, reservation ID, terminal status, and confirmed versus unknown usage.</w:t>
      </w:r>
    </w:p>
    <w:p>
      <w:r>
        <w:br w:type="page"/>
      </w:r>
    </w:p>
    <w:p>
      <w:pPr>
        <w:pStyle w:val="Heading1"/>
      </w:pPr>
      <w:r>
        <w:t>5. Canonical Contracts</w:t>
      </w:r>
    </w:p>
    <w:p>
      <w:pPr>
        <w:pStyle w:val="PageSubtitle"/>
      </w:pPr>
      <w:r>
        <w:t>Make budget types, workflow branches, and reproducibility explicit</w:t>
      </w:r>
    </w:p>
    <w:p>
      <w:pPr>
        <w:pStyle w:val="CodeBlock"/>
        <w:shd w:fill="F1F5F7"/>
      </w:pPr>
      <w:r>
        <w:rPr>
          <w:rFonts w:ascii="Liberation Mono" w:hAnsi="Liberation Mono"/>
          <w:sz w:val="16"/>
        </w:rPr>
        <w:t>{</w:t>
        <w:br/>
        <w:t xml:space="preserve">  "requestId": "r1", "workloadId": "w1",</w:t>
        <w:br/>
        <w:t xml:space="preserve">  "requestMaxNanos": "100000000",</w:t>
        <w:br/>
        <w:t xml:space="preserve">  "requirements": {"privacyClass": "standard"},</w:t>
        <w:br/>
        <w:t xml:space="preserve">  "policyEpoch": "p2"</w:t>
        <w:br/>
        <w:t>}</w:t>
        <w:br/>
        <w:t>{</w:t>
        <w:br/>
        <w:t xml:space="preserve">  "optionId": "cheap-check-repair@2",</w:t>
        <w:br/>
        <w:t xml:space="preserve">  "entry": "draft", "maxCalls": 3,</w:t>
        <w:br/>
        <w:t xml:space="preserve">  "generationProfile": "g2", "tariffVersion": "t7",</w:t>
        <w:br/>
        <w:t xml:space="preserve">  "nodes": {</w:t>
        <w:br/>
        <w:t xml:space="preserve">    "draft": {"kind":"model", "next":"check"},</w:t>
        <w:br/>
        <w:t xml:space="preserve">    "check": {"kind":"verify", "pass":"done",</w:t>
        <w:br/>
        <w:t xml:space="preserve">              "fail":"repair", "unknown":"defer"},</w:t>
        <w:br/>
        <w:t xml:space="preserve">    "repair": {"kind":"model", "next":"done"},</w:t>
        <w:br/>
        <w:t xml:space="preserve">    "done": {"kind":"terminal"},</w:t>
        <w:br/>
        <w:t xml:space="preserve">    "defer": {"kind":"terminal", "status":"deferred"}</w:t>
        <w:br/>
        <w:t xml:space="preserve">  }</w:t>
        <w:br/>
        <w:t>}</w:t>
      </w:r>
    </w:p>
    <w:p>
      <w:r>
        <w:t>This is a contract excerpt, not a complete JSON Schema. Model nodes also require bounded input/output settings, tool permissions, timeout and billing policy, and pinned resources. Each request-specific option bound is computed from those controls; “maxEstimatedCostUsd” is replaced by a documented enforced upper bound.</w:t>
      </w:r>
    </w:p>
    <w:tbl>
      <w:tblPr>
        <w:tblW w:type="auto" w:w="0"/>
        <w:tblLayout w:type="fixed"/>
        <w:tblLook w:firstColumn="1" w:firstRow="1" w:lastColumn="0" w:lastRow="0" w:noHBand="0" w:noVBand="1" w:val="04A0"/>
      </w:tblPr>
      <w:tblGrid>
        <w:gridCol w:w="5112"/>
        <w:gridCol w:w="5112"/>
      </w:tblGrid>
      <w:tr>
        <w:trPr>
          <w:cantSplit/>
          <w:tblHeader/>
        </w:trPr>
        <w:tc>
          <w:tcPr>
            <w:tcW w:type="dxa" w:w="2160"/>
            <w:shd w:fill="19324A"/>
            <w:tcMar>
              <w:top w:w="65" w:type="dxa"/>
              <w:bottom w:w="65" w:type="dxa"/>
              <w:left w:w="65" w:type="dxa"/>
              <w:right w:w="65" w:type="dxa"/>
            </w:tcMar>
          </w:tcPr>
          <w:p>
            <w:pPr>
              <w:spacing w:after="60" w:before="20" w:line="240" w:lineRule="auto"/>
            </w:pPr>
            <w:r>
              <w:rPr>
                <w:b/>
                <w:color w:val="FFFFFF"/>
                <w:sz w:val="18"/>
              </w:rPr>
              <w:t>Object</w:t>
            </w:r>
          </w:p>
        </w:tc>
        <w:tc>
          <w:tcPr>
            <w:tcW w:type="dxa" w:w="8064"/>
            <w:shd w:fill="19324A"/>
            <w:tcMar>
              <w:top w:w="65" w:type="dxa"/>
              <w:bottom w:w="65" w:type="dxa"/>
              <w:left w:w="65" w:type="dxa"/>
              <w:right w:w="65" w:type="dxa"/>
            </w:tcMar>
          </w:tcPr>
          <w:p>
            <w:pPr>
              <w:spacing w:after="60" w:before="20" w:line="240" w:lineRule="auto"/>
            </w:pPr>
            <w:r>
              <w:rPr>
                <w:b/>
                <w:color w:val="FFFFFF"/>
                <w:sz w:val="18"/>
              </w:rPr>
              <w:t>Required correction</w:t>
            </w:r>
          </w:p>
        </w:tc>
      </w:tr>
      <w:tr>
        <w:trPr>
          <w:cantSplit/>
        </w:trPr>
        <w:tc>
          <w:tcPr>
            <w:tcW w:type="dxa" w:w="2160"/>
            <w:shd w:fill="EFF4F6"/>
            <w:tcMar>
              <w:top w:w="65" w:type="dxa"/>
              <w:bottom w:w="65" w:type="dxa"/>
              <w:left w:w="65" w:type="dxa"/>
              <w:right w:w="65" w:type="dxa"/>
            </w:tcMar>
          </w:tcPr>
          <w:p>
            <w:pPr>
              <w:spacing w:after="60" w:before="20" w:line="240" w:lineRule="auto"/>
            </w:pPr>
            <w:r>
              <w:rPr>
                <w:b w:val="0"/>
                <w:sz w:val="18"/>
              </w:rPr>
              <w:t>Money</w:t>
            </w:r>
          </w:p>
        </w:tc>
        <w:tc>
          <w:tcPr>
            <w:tcW w:type="dxa" w:w="8064"/>
            <w:shd w:fill="EFF4F6"/>
            <w:tcMar>
              <w:top w:w="65" w:type="dxa"/>
              <w:bottom w:w="65" w:type="dxa"/>
              <w:left w:w="65" w:type="dxa"/>
              <w:right w:w="65" w:type="dxa"/>
            </w:tcMar>
          </w:tcPr>
          <w:p>
            <w:pPr>
              <w:spacing w:after="60" w:before="20" w:line="240" w:lineRule="auto"/>
            </w:pPr>
            <w:r>
              <w:rPr>
                <w:b w:val="0"/>
                <w:sz w:val="18"/>
              </w:rPr>
              <w:t>Integer nanodollars encoded as decimal strings in JSON; convert to int / long or BigInteger / bigint. Never binary floats for ledger money.</w:t>
            </w:r>
          </w:p>
        </w:tc>
      </w:tr>
      <w:tr>
        <w:trPr>
          <w:cantSplit/>
        </w:trPr>
        <w:tc>
          <w:tcPr>
            <w:tcW w:type="dxa" w:w="2160"/>
            <w:shd w:fill="F8FAFB"/>
            <w:tcMar>
              <w:top w:w="65" w:type="dxa"/>
              <w:bottom w:w="65" w:type="dxa"/>
              <w:left w:w="65" w:type="dxa"/>
              <w:right w:w="65" w:type="dxa"/>
            </w:tcMar>
          </w:tcPr>
          <w:p>
            <w:pPr>
              <w:spacing w:after="60" w:before="20" w:line="240" w:lineRule="auto"/>
            </w:pPr>
            <w:r>
              <w:rPr>
                <w:b w:val="0"/>
                <w:sz w:val="18"/>
              </w:rPr>
              <w:t>DecisionEvent</w:t>
            </w:r>
          </w:p>
        </w:tc>
        <w:tc>
          <w:tcPr>
            <w:tcW w:type="dxa" w:w="8064"/>
            <w:shd w:fill="F8FAFB"/>
            <w:tcMar>
              <w:top w:w="65" w:type="dxa"/>
              <w:bottom w:w="65" w:type="dxa"/>
              <w:left w:w="65" w:type="dxa"/>
              <w:right w:w="65" w:type="dxa"/>
            </w:tcMar>
          </w:tcPr>
          <w:p>
            <w:pPr>
              <w:spacing w:after="60" w:before="20" w:line="240" w:lineRule="auto"/>
            </w:pPr>
            <w:r>
              <w:rPr>
                <w:b w:val="0"/>
                <w:sz w:val="18"/>
              </w:rPr>
              <w:t>All feasible candidates, eligibility reasons, behavior probability for the actual choice, randomization seed, state and policy IDs.</w:t>
            </w:r>
          </w:p>
        </w:tc>
      </w:tr>
      <w:tr>
        <w:trPr>
          <w:cantSplit/>
        </w:trPr>
        <w:tc>
          <w:tcPr>
            <w:tcW w:type="dxa" w:w="2160"/>
            <w:shd w:fill="EFF4F6"/>
            <w:tcMar>
              <w:top w:w="65" w:type="dxa"/>
              <w:bottom w:w="65" w:type="dxa"/>
              <w:left w:w="65" w:type="dxa"/>
              <w:right w:w="65" w:type="dxa"/>
            </w:tcMar>
          </w:tcPr>
          <w:p>
            <w:pPr>
              <w:spacing w:after="60" w:before="20" w:line="240" w:lineRule="auto"/>
            </w:pPr>
            <w:r>
              <w:rPr>
                <w:b w:val="0"/>
                <w:sz w:val="18"/>
              </w:rPr>
              <w:t>UsageEvent</w:t>
            </w:r>
          </w:p>
        </w:tc>
        <w:tc>
          <w:tcPr>
            <w:tcW w:type="dxa" w:w="8064"/>
            <w:shd w:fill="EFF4F6"/>
            <w:tcMar>
              <w:top w:w="65" w:type="dxa"/>
              <w:bottom w:w="65" w:type="dxa"/>
              <w:left w:w="65" w:type="dxa"/>
              <w:right w:w="65" w:type="dxa"/>
            </w:tcMar>
          </w:tcPr>
          <w:p>
            <w:pPr>
              <w:spacing w:after="60" w:before="20" w:line="240" w:lineRule="auto"/>
            </w:pPr>
            <w:r>
              <w:rPr>
                <w:b w:val="0"/>
                <w:sz w:val="18"/>
              </w:rPr>
              <w:t>Attempt ID, reservation ID, confirmed amount, pending status, provider receipt and idempotency key.</w:t>
            </w:r>
          </w:p>
        </w:tc>
      </w:tr>
      <w:tr>
        <w:trPr>
          <w:cantSplit/>
        </w:trPr>
        <w:tc>
          <w:tcPr>
            <w:tcW w:type="dxa" w:w="2160"/>
            <w:shd w:fill="F8FAFB"/>
            <w:tcMar>
              <w:top w:w="65" w:type="dxa"/>
              <w:bottom w:w="65" w:type="dxa"/>
              <w:left w:w="65" w:type="dxa"/>
              <w:right w:w="65" w:type="dxa"/>
            </w:tcMar>
          </w:tcPr>
          <w:p>
            <w:pPr>
              <w:spacing w:after="60" w:before="20" w:line="240" w:lineRule="auto"/>
            </w:pPr>
            <w:r>
              <w:rPr>
                <w:b w:val="0"/>
                <w:sz w:val="18"/>
              </w:rPr>
              <w:t>Outcome / feedback</w:t>
            </w:r>
          </w:p>
        </w:tc>
        <w:tc>
          <w:tcPr>
            <w:tcW w:type="dxa" w:w="8064"/>
            <w:shd w:fill="F8FAFB"/>
            <w:tcMar>
              <w:top w:w="65" w:type="dxa"/>
              <w:bottom w:w="65" w:type="dxa"/>
              <w:left w:w="65" w:type="dxa"/>
              <w:right w:w="65" w:type="dxa"/>
            </w:tcMar>
          </w:tcPr>
          <w:p>
            <w:pPr>
              <w:spacing w:after="60" w:before="20" w:line="240" w:lineRule="auto"/>
            </w:pPr>
            <w:r>
              <w:rPr>
                <w:b w:val="0"/>
                <w:sz w:val="18"/>
              </w:rPr>
              <w:t>Separate task score, operational checker signal, explicit human vote, missing vote, and blind evaluation.</w:t>
            </w:r>
          </w:p>
        </w:tc>
      </w:tr>
      <w:tr>
        <w:trPr>
          <w:cantSplit/>
        </w:trPr>
        <w:tc>
          <w:tcPr>
            <w:tcW w:type="dxa" w:w="2160"/>
            <w:shd w:fill="EFF4F6"/>
            <w:tcMar>
              <w:top w:w="65" w:type="dxa"/>
              <w:bottom w:w="65" w:type="dxa"/>
              <w:left w:w="65" w:type="dxa"/>
              <w:right w:w="65" w:type="dxa"/>
            </w:tcMar>
          </w:tcPr>
          <w:p>
            <w:pPr>
              <w:spacing w:after="60" w:before="20" w:line="240" w:lineRule="auto"/>
            </w:pPr>
            <w:r>
              <w:rPr>
                <w:b w:val="0"/>
                <w:sz w:val="18"/>
              </w:rPr>
              <w:t>PolicySnapshot</w:t>
            </w:r>
          </w:p>
        </w:tc>
        <w:tc>
          <w:tcPr>
            <w:tcW w:type="dxa" w:w="8064"/>
            <w:shd w:fill="EFF4F6"/>
            <w:tcMar>
              <w:top w:w="65" w:type="dxa"/>
              <w:bottom w:w="65" w:type="dxa"/>
              <w:left w:w="65" w:type="dxa"/>
              <w:right w:w="65" w:type="dxa"/>
            </w:tcMar>
          </w:tcPr>
          <w:p>
            <w:pPr>
              <w:spacing w:after="60" w:before="20" w:line="240" w:lineRule="auto"/>
            </w:pPr>
            <w:r>
              <w:rPr>
                <w:b w:val="0"/>
                <w:sz w:val="18"/>
              </w:rPr>
              <w:t>Pure immutable data. No embedding client, HTTP handler, mutable ledger, or live service objects.</w:t>
            </w:r>
          </w:p>
        </w:tc>
      </w:tr>
    </w:tbl>
    <w:p>
      <w:pPr>
        <w:spacing w:after="0"/>
      </w:pPr>
    </w:p>
    <w:p>
      <w:pPr>
        <w:pStyle w:val="AuditNote"/>
        <w:shd w:fill="EAF2F3"/>
      </w:pPr>
      <w:r>
        <w:t>Generation settings are part of option identity: one model with two reasoning/output caps is two options. R2-Router motivates this missing comparison; prompt-only length instructions are not themselves a monetary guarantee. [S4]</w:t>
      </w:r>
    </w:p>
    <w:p>
      <w:r>
        <w:br w:type="page"/>
      </w:r>
    </w:p>
    <w:p>
      <w:pPr>
        <w:pStyle w:val="Heading1"/>
      </w:pPr>
      <w:r>
        <w:t>6. Typed Computation Graph</w:t>
      </w:r>
    </w:p>
    <w:p>
      <w:pPr>
        <w:pStyle w:val="PageSubtitle"/>
      </w:pPr>
      <w:r>
        <w:t>Use bounded conditional policies, not an ambiguous steps array</w:t>
      </w:r>
    </w:p>
    <w:p>
      <w:r>
        <w:t>The original flat path array could express “generate then verify” but not what happens when verification fails. Define a finite decision graph with typed states, explicit branch guards, terminal statuses, and hard limits on calls, tokens, recursion, and tool actions. The executed route is a random trace through that frozen graph, not a pre-known cheapest path.</w:t>
      </w:r>
    </w:p>
    <w:p>
      <w:pPr>
        <w:pStyle w:val="CodeBlock"/>
        <w:shd w:fill="F1F5F7"/>
      </w:pPr>
      <w:r>
        <w:rPr>
          <w:rFonts w:ascii="Liberation Mono" w:hAnsi="Liberation Mono"/>
          <w:sz w:val="16"/>
        </w:rPr>
        <w:t>ACQUIRE -&gt; TRANSFORM -&gt; SOLVE -&gt; OBSERVE</w:t>
        <w:br/>
        <w:t xml:space="preserve">                                | pass -&gt; COMPLETE</w:t>
        <w:br/>
        <w:t xml:space="preserve">                                | fail -&gt; REPAIR -&gt; OBSERVE/COMPLETE</w:t>
        <w:br/>
        <w:t xml:space="preserve">                                | unknown or unfunded -&gt; DEFER</w:t>
        <w:br/>
        <w:br/>
        <w:t>Each edge: applicability + state update + authorized cost bound.</w:t>
        <w:br/>
        <w:t>Each option: entry state + frozen internal policy + termination.</w:t>
      </w:r>
    </w:p>
    <w:p>
      <w:pPr>
        <w:pStyle w:val="Heading2"/>
      </w:pPr>
      <w:r>
        <w:t>What the graph does and does not establish</w:t>
      </w:r>
    </w:p>
    <w:p>
      <w:r>
        <w:t>The graph encodes legal computation and auditable stop conditions. It does not make quality additive across edges. The benefit of a repair depends on the actual previous answer and evidence. Do not multiply marginal success rates or splice independent model completions into a claimed measured workflow.</w:t>
      </w:r>
    </w:p>
    <w:p>
      <w:r>
        <w:t>For V1, enumerate five to eight bounded options rather than search arbitrary programs. Fixed options can be used directly as WISERouter arms. Dynamic option construction, transferable graph encoders, or changing internal policies need separate algorithms and experiments; fixed-option regret theorems do not automatically extend to them. [S1, S2, S6]</w:t>
      </w:r>
    </w:p>
    <w:p>
      <w:pPr>
        <w:pStyle w:val="Heading2"/>
      </w:pPr>
      <w:r>
        <w:t>Pruning correction</w:t>
      </w:r>
    </w:p>
    <w:p>
      <w:r>
        <w:t>Do not permanently discard options merely because empirical means look dominated after a few probes. Within the same context and feasibility set, require uncertainty-aware evidence of dominance; for example, a lower confidence bound on A’s utility above B’s upper bound, together with conservative cost/latency comparisons. Maintain an unpruned audit set and re-evaluate after model changes.</w:t>
      </w:r>
    </w:p>
    <w:p>
      <w:pPr>
        <w:pStyle w:val="Heading2"/>
      </w:pPr>
      <w:r>
        <w:t>Tool and source safety</w:t>
      </w:r>
    </w:p>
    <w:p>
      <w:r>
        <w:t>Only allow deterministic parsing in a deliberately narrow calculator grammar; use bounded, sandboxed code execution with no default network or filesystem privileges. Retrieval must preserve access control and source provenance. Cache eligibility must include tenant, permissions, freshness, configuration, and exact task semantics—not vector distance alone.</w:t>
      </w:r>
    </w:p>
    <w:p>
      <w:pPr>
        <w:pStyle w:val="AuditNote"/>
        <w:shd w:fill="EAF2F3"/>
      </w:pPr>
      <w:r>
        <w:t>Keep deterministic-tool-only results as a separate reporting slice. A trivial calculator win cannot substantiate the learned path-routing contribution.</w:t>
      </w:r>
    </w:p>
    <w:p>
      <w:r>
        <w:br w:type="page"/>
      </w:r>
    </w:p>
    <w:p>
      <w:pPr>
        <w:pStyle w:val="Heading1"/>
      </w:pPr>
      <w:r>
        <w:t>7. Latent Compatibility Layer</w:t>
      </w:r>
    </w:p>
    <w:p>
      <w:pPr>
        <w:pStyle w:val="PageSubtitle"/>
      </w:pPr>
      <w:r>
        <w:t>Separate relevance, predicted success, and uncertainty</w:t>
      </w:r>
    </w:p>
    <w:p>
      <w:r>
        <w:t>Begin by scoring all five to eight applicable options. A vector shortlist is unnecessary at that scale and can remove the best feasible choice. Add retrieval only after measuring top-K recall against the full small portfolio. Retain an escape route for unfamiliar or excluded regions.</w:t>
      </w:r>
    </w:p>
    <w:p>
      <w:pPr>
        <w:pStyle w:val="Heading2"/>
      </w:pPr>
      <w:r>
        <w:t>Learn an outcome model, not a decorative similarity score</w:t>
      </w:r>
    </w:p>
    <w:p>
      <w:pPr>
        <w:pStyle w:val="CodeBlock"/>
        <w:shd w:fill="F1F5F7"/>
      </w:pPr>
      <w:r>
        <w:rPr>
          <w:rFonts w:ascii="Liberation Mono" w:hAnsi="Liberation Mono"/>
          <w:sz w:val="16"/>
        </w:rPr>
        <w:t>mu(x, o) = predicted terminal utility for context x and option o</w:t>
        <w:br/>
        <w:t>c(x, o)  = predicted expected serving cost</w:t>
        <w:br/>
        <w:t>u(x, o)  = uncertainty about the estimate, not raw outcome spread</w:t>
        <w:br/>
        <w:t>score    = mu - lambda*c - latency_weight*latency - risk_term</w:t>
      </w:r>
    </w:p>
    <w:p>
      <w:r>
        <w:t>Cosine similarity is a feature or baseline, not a calibrated probability. The original additive cosine-plus-prior score has no automatic probability interpretation. Compare task-only rules, nearest neighbors, calibrated logistic/bilinear models, and only then more complex encoders. Query/model latent representations are established prior art through PILOT. [S3]</w:t>
      </w:r>
    </w:p>
    <w:p>
      <w:pPr>
        <w:pStyle w:val="Heading2"/>
      </w:pPr>
      <w:r>
        <w:t>Two different uncertainties</w:t>
      </w:r>
    </w:p>
    <w:p>
      <w:r>
        <w:t>Repeated outcomes can differ even when the underlying success probability is known: this is outcome randomness. Limited observations leave uncertainty about that probability: this is estimation uncertainty. Additional probes mainly reduce the latter. A risk policy may address outcome variability, but the exploration scheduler should not conflate the two.</w:t>
      </w:r>
    </w:p>
    <w:p>
      <w:pPr>
        <w:pStyle w:val="CodeBlock"/>
        <w:shd w:fill="F1F5F7"/>
      </w:pPr>
      <w:r>
        <w:rPr>
          <w:rFonts w:ascii="Liberation Mono" w:hAnsi="Liberation Mono"/>
          <w:sz w:val="16"/>
        </w:rPr>
        <w:t>For binary success and posterior p | D:</w:t>
        <w:br/>
        <w:t>Var(Y | D) = E[p(1-p) | D] + Var(p | D)</w:t>
        <w:br/>
        <w:t xml:space="preserve">              outcome randomness   estimation uncertainty</w:t>
      </w:r>
    </w:p>
    <w:p>
      <w:r>
        <w:t>A Beta model may be a simple baseline within a stable stratum; it does not make repeated user votes independent or prove the stratum is homogeneous. Use hierarchical shrinkage, independent held-out calibration, and sample-level identifiers. Do not infer a reliable per-query success probability from three to five generations.</w:t>
      </w:r>
    </w:p>
    <w:p>
      <w:r>
        <w:t>Accepted-only prototype averaging is biased by prior routing and by which users vote. Keep failed and unrated executions, log decision propensities, and evaluate representation updates separately. An unseen region or small score margin triggers caution; geometric distance alone does not certify unreliability or justify a paid probe.</w:t>
      </w:r>
    </w:p>
    <w:p>
      <w:pPr>
        <w:pStyle w:val="AuditNote"/>
        <w:shd w:fill="EAF2F3"/>
      </w:pPr>
      <w:r>
        <w:t>A neural model cannot be exported as a linear weight table without changing its function. Later portability requires a declared execution format or a measured distillation approximation, not an unchanged JSON promise.</w:t>
      </w:r>
    </w:p>
    <w:p>
      <w:r>
        <w:br w:type="page"/>
      </w:r>
    </w:p>
    <w:p>
      <w:pPr>
        <w:pStyle w:val="Heading1"/>
      </w:pPr>
      <w:r>
        <w:t>8. Iceberg Probe Engine</w:t>
      </w:r>
    </w:p>
    <w:p>
      <w:pPr>
        <w:pStyle w:val="PageSubtitle"/>
      </w:pPr>
      <w:r>
        <w:t>Test information acquisition beyond WISERouter’s existing exploration</w:t>
      </w:r>
    </w:p>
    <w:p>
      <w:r>
        <w:t>Specify two evaluation regimes separately. In batch mode the queued queries are visible before allocation and feature-based stratification is allowed. In streaming mode only history and the current query are visible; future-query clustering is unavailable. Do not compare a transductive Iceberg method against a baseline denied access to the same queued batch.</w:t>
      </w:r>
    </w:p>
    <w:p>
      <w:pPr>
        <w:pStyle w:val="Heading2"/>
      </w:pPr>
      <w:r>
        <w:t>Initial algorithm: transparent, not an unimplemented VOI oracle</w:t>
      </w:r>
    </w:p>
    <w:p>
      <w:pPr>
        <w:pStyle w:val="CodeBlock"/>
        <w:shd w:fill="F1F5F7"/>
      </w:pPr>
      <w:r>
        <w:rPr>
          <w:rFonts w:ascii="Liberation Mono" w:hAnsi="Liberation Mono"/>
          <w:sz w:val="16"/>
        </w:rPr>
        <w:t>1. Fix option versions, workload scope, utility and cost rules.</w:t>
        <w:br/>
        <w:t>2. Set an adaptation cap in money, not a percentage of prompts.</w:t>
        <w:br/>
        <w:t>3. Obtain permitted features; charge billable preprocessing.</w:t>
        <w:br/>
        <w:t>4. Stratify and sample using a reproducible random design.</w:t>
        <w:br/>
        <w:t>5. Reserve the full probe + operational-checker liability.</w:t>
        <w:br/>
        <w:t>6. Execute; update uncertainty-aware option estimates.</w:t>
        <w:br/>
        <w:t>7. Stop at the adaptation cap or predeclared stopping rule.</w:t>
        <w:br/>
        <w:t>8. Allocate the remainder with a common constrained allocator.</w:t>
        <w:br/>
        <w:t>9. Freeze the policy epoch; retain budgeted audit/exploration.</w:t>
      </w:r>
    </w:p>
    <w:p>
      <w:r>
        <w:t>First compare random, stratified, and resource-aware racing designs against WR-Online and no-probe allocation. A later value-of-information scheduler must predict improvement in downstream allocation, not generic embedding entropy. When expected-value estimation is unreliable, test a simple stopping rule rather than advertise optimal active learning. [S1]</w:t>
      </w:r>
    </w:p>
    <w:p>
      <w:pPr>
        <w:pStyle w:val="Heading2"/>
      </w:pPr>
      <w:r>
        <w:t>No free probe labels or double-counted benefit</w:t>
      </w:r>
    </w:p>
    <w:p>
      <w:r>
        <w:t>If a checker supplies a learning signal, its cost belongs to adaptation. Hidden benchmark answers are for evaluation, not production feedback. Multiple candidate outputs for one prompt count as multiple costs but at most one served task utility. Paired or shared-prefix branches have correlated outcomes and must be analyzed as such.</w:t>
      </w:r>
    </w:p>
    <w:p>
      <w:r>
        <w:t>Shared-prefix reuse is a possible later experiment: one frozen draft can feed two check/repair branches without regenerating the draft. Log the actual branching execution cost and distinguish it from the cost of independently deploying each option. This is a testable hypothesis, not an established Iceberg contribution.</w:t>
      </w:r>
    </w:p>
    <w:p>
      <w:pPr>
        <w:pStyle w:val="AuditNote"/>
        <w:shd w:fill="EAF2F3"/>
      </w:pPr>
      <w:r>
        <w:t>Do not claim that a universal 1–3% probe rate suffices. The stopping point depends on workload size, option gaps, feedback quality, task shift, and all adaptation overhead.</w:t>
      </w:r>
    </w:p>
    <w:p>
      <w:r>
        <w:br w:type="page"/>
      </w:r>
    </w:p>
    <w:p>
      <w:pPr>
        <w:pStyle w:val="Heading1"/>
      </w:pPr>
      <w:r>
        <w:t>9. Hard Budget Governor and Path Allocation</w:t>
      </w:r>
    </w:p>
    <w:p>
      <w:pPr>
        <w:pStyle w:val="PageSubtitle"/>
      </w:pPr>
      <w:r>
        <w:t>Fix expected-cost admission, shadow-price units, and ambiguous settlement</w:t>
      </w:r>
    </w:p>
    <w:p>
      <w:pPr>
        <w:pStyle w:val="CodeBlock"/>
        <w:shd w:fill="F1F5F7"/>
      </w:pPr>
      <w:r>
        <w:rPr>
          <w:rFonts w:ascii="Liberation Mono" w:hAnsi="Liberation Mono"/>
          <w:sz w:val="16"/>
        </w:rPr>
        <w:t>S = confirmed spend; H = outstanding reserved liabilities</w:t>
        <w:br/>
        <w:t>Invariant, under bounded and fully intercepted billing: S + H &lt;= B</w:t>
        <w:br/>
        <w:br/>
        <w:t>ADMIT(id, cap): in one durable transaction</w:t>
        <w:br/>
        <w:t xml:space="preserve">  require cap &gt;= 0 and S + H + cap &lt;= B</w:t>
        <w:br/>
        <w:t xml:space="preserve">  create unique held reservation; H += cap</w:t>
        <w:br/>
        <w:t>SETTLE(id, actual): in one durable transaction</w:t>
        <w:br/>
        <w:t xml:space="preserve">  require confirmed receipt and 0 &lt;= actual &lt;= held cap</w:t>
        <w:br/>
        <w:t xml:space="preserve">  if already settled: return the same result</w:t>
        <w:br/>
        <w:t xml:space="preserve">  H -= cap; S += actual; mark settled</w:t>
        <w:br/>
        <w:t>TIMEOUT / CANCEL with unknown usage: keep hold pending.</w:t>
      </w:r>
    </w:p>
    <w:p>
      <w:r>
        <w:t>The bound is derived from frozen tariffs, bounded prompt/generation sizes, maximum attempts, checker/tool charges, and bounded internal router calls. A safety margin on expected cost is not an upper bound. If actual billing exceeds the promised bound, record the real liability, halt admission, and report a budget-contract failure; never clamp the bill to make the metric appear safe.</w:t>
      </w:r>
    </w:p>
    <w:p>
      <w:pPr>
        <w:pStyle w:val="Heading2"/>
      </w:pPr>
      <w:r>
        <w:t>Why this works—and what it cannot promise</w:t>
      </w:r>
    </w:p>
    <w:p>
      <w:r>
        <w:t>With a valid cost bound, admission increases H only within capacity; settlement replaces a hold by an amount no larger than that hold. Induction preserves the invariant. This is a conditional accounting argument, not a claim that external services always honor the assumptions. Unknown bills must not be released in a finally block.</w:t>
      </w:r>
    </w:p>
    <w:p>
      <w:r>
        <w:t>LiteLLM documents budget reservations but also limitations for non-token-priced operations, provider batch submissions, and stale or unavailable enforcement state. Use adapter tests and fail-closed controls; initially exclude calls whose upper liability cannot be established. A workload batch is not the same as a provider’s asynchronous batch API. [S10]</w:t>
      </w:r>
    </w:p>
    <w:p>
      <w:pPr>
        <w:pStyle w:val="Heading2"/>
      </w:pPr>
      <w:r>
        <w:t>Correct the allocation mathematics</w:t>
      </w:r>
    </w:p>
    <w:p>
      <w:pPr>
        <w:pStyle w:val="CodeBlock"/>
        <w:shd w:fill="F1F5F7"/>
      </w:pPr>
      <w:r>
        <w:rPr>
          <w:rFonts w:ascii="Liberation Mono" w:hAnsi="Liberation Mono"/>
          <w:sz w:val="16"/>
        </w:rPr>
        <w:t>target spending per remaining request = remaining_money / remaining_N</w:t>
        <w:br/>
        <w:t>shadow price lambda = utility per unit money (not the ratio above)</w:t>
        <w:br/>
        <w:t>An LP dual or a tuned dual update can supply lambda.</w:t>
        <w:br/>
        <w:t>Expected costs rank options; enforced upper bounds admit execution.</w:t>
      </w:r>
    </w:p>
    <w:p>
      <w:r>
        <w:t>Keep money exact and all mutations atomic. Test double settlement, retry duplication, crash recovery, concurrent admission, stale state, delayed billing, and bound breaches. Use a separate compute/capacity account when local or free-API resources consume noncash infrastructure or limited quota.</w:t>
      </w:r>
    </w:p>
    <w:p>
      <w:r>
        <w:br w:type="page"/>
      </w:r>
    </w:p>
    <w:p>
      <w:pPr>
        <w:pStyle w:val="Heading1"/>
      </w:pPr>
      <w:r>
        <w:t>10. Verification, User Feedback, Sentinel Exploration</w:t>
      </w:r>
    </w:p>
    <w:p>
      <w:pPr>
        <w:pStyle w:val="PageSubtitle"/>
      </w:pPr>
      <w:r>
        <w:t>Do not confuse preference, truth, or auditing with counterfactual evidence</w:t>
      </w:r>
    </w:p>
    <w:p>
      <w:pPr>
        <w:pStyle w:val="Heading2"/>
      </w:pPr>
      <w:r>
        <w:t>Three observation channels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160"/>
            <w:shd w:fill="19324A"/>
            <w:tcMar>
              <w:top w:w="65" w:type="dxa"/>
              <w:bottom w:w="65" w:type="dxa"/>
              <w:left w:w="65" w:type="dxa"/>
              <w:right w:w="65" w:type="dxa"/>
            </w:tcMar>
          </w:tcPr>
          <w:p>
            <w:pPr>
              <w:spacing w:after="60" w:before="20" w:line="240" w:lineRule="auto"/>
            </w:pPr>
            <w:r>
              <w:rPr>
                <w:b/>
                <w:color w:val="FFFFFF"/>
                <w:sz w:val="18"/>
              </w:rPr>
              <w:t>Signal</w:t>
            </w:r>
          </w:p>
        </w:tc>
        <w:tc>
          <w:tcPr>
            <w:tcW w:type="dxa" w:w="3024"/>
            <w:shd w:fill="19324A"/>
            <w:tcMar>
              <w:top w:w="65" w:type="dxa"/>
              <w:bottom w:w="65" w:type="dxa"/>
              <w:left w:w="65" w:type="dxa"/>
              <w:right w:w="65" w:type="dxa"/>
            </w:tcMar>
          </w:tcPr>
          <w:p>
            <w:pPr>
              <w:spacing w:after="60" w:before="20" w:line="240" w:lineRule="auto"/>
            </w:pPr>
            <w:r>
              <w:rPr>
                <w:b/>
                <w:color w:val="FFFFFF"/>
                <w:sz w:val="18"/>
              </w:rPr>
              <w:t>Use</w:t>
            </w:r>
          </w:p>
        </w:tc>
        <w:tc>
          <w:tcPr>
            <w:tcW w:type="dxa" w:w="5040"/>
            <w:shd w:fill="19324A"/>
            <w:tcMar>
              <w:top w:w="65" w:type="dxa"/>
              <w:bottom w:w="65" w:type="dxa"/>
              <w:left w:w="65" w:type="dxa"/>
              <w:right w:w="65" w:type="dxa"/>
            </w:tcMar>
          </w:tcPr>
          <w:p>
            <w:pPr>
              <w:spacing w:after="60" w:before="20" w:line="240" w:lineRule="auto"/>
            </w:pPr>
            <w:r>
              <w:rPr>
                <w:b/>
                <w:color w:val="FFFFFF"/>
                <w:sz w:val="18"/>
              </w:rPr>
              <w:t>Required limitation</w:t>
            </w:r>
          </w:p>
        </w:tc>
      </w:tr>
      <w:tr>
        <w:trPr>
          <w:cantSplit/>
        </w:trPr>
        <w:tc>
          <w:tcPr>
            <w:tcW w:type="dxa" w:w="2160"/>
            <w:shd w:fill="EFF4F6"/>
            <w:tcMar>
              <w:top w:w="65" w:type="dxa"/>
              <w:bottom w:w="65" w:type="dxa"/>
              <w:left w:w="65" w:type="dxa"/>
              <w:right w:w="65" w:type="dxa"/>
            </w:tcMar>
          </w:tcPr>
          <w:p>
            <w:pPr>
              <w:spacing w:after="60" w:before="20" w:line="240" w:lineRule="auto"/>
            </w:pPr>
            <w:r>
              <w:rPr>
                <w:b w:val="0"/>
                <w:sz w:val="18"/>
              </w:rPr>
              <w:t>Operational checker</w:t>
            </w:r>
          </w:p>
        </w:tc>
        <w:tc>
          <w:tcPr>
            <w:tcW w:type="dxa" w:w="3024"/>
            <w:shd w:fill="EFF4F6"/>
            <w:tcMar>
              <w:top w:w="65" w:type="dxa"/>
              <w:bottom w:w="65" w:type="dxa"/>
              <w:left w:w="65" w:type="dxa"/>
              <w:right w:w="65" w:type="dxa"/>
            </w:tcMar>
          </w:tcPr>
          <w:p>
            <w:pPr>
              <w:spacing w:after="60" w:before="20" w:line="240" w:lineRule="auto"/>
            </w:pPr>
            <w:r>
              <w:rPr>
                <w:b w:val="0"/>
                <w:sz w:val="18"/>
              </w:rPr>
              <w:t>Decide stop, repair, or defer.</w:t>
            </w:r>
          </w:p>
        </w:tc>
        <w:tc>
          <w:tcPr>
            <w:tcW w:type="dxa" w:w="5040"/>
            <w:shd w:fill="EFF4F6"/>
            <w:tcMar>
              <w:top w:w="65" w:type="dxa"/>
              <w:bottom w:w="65" w:type="dxa"/>
              <w:left w:w="65" w:type="dxa"/>
              <w:right w:w="65" w:type="dxa"/>
            </w:tcMar>
          </w:tcPr>
          <w:p>
            <w:pPr>
              <w:spacing w:after="60" w:before="20" w:line="240" w:lineRule="auto"/>
            </w:pPr>
            <w:r>
              <w:rPr>
                <w:b w:val="0"/>
                <w:sz w:val="18"/>
              </w:rPr>
              <w:t>Known applicability and cost; no access to hidden test answers.</w:t>
            </w:r>
          </w:p>
        </w:tc>
      </w:tr>
      <w:tr>
        <w:trPr>
          <w:cantSplit/>
        </w:trPr>
        <w:tc>
          <w:tcPr>
            <w:tcW w:type="dxa" w:w="2160"/>
            <w:shd w:fill="F8FAFB"/>
            <w:tcMar>
              <w:top w:w="65" w:type="dxa"/>
              <w:bottom w:w="65" w:type="dxa"/>
              <w:left w:w="65" w:type="dxa"/>
              <w:right w:w="65" w:type="dxa"/>
            </w:tcMar>
          </w:tcPr>
          <w:p>
            <w:pPr>
              <w:spacing w:after="60" w:before="20" w:line="240" w:lineRule="auto"/>
            </w:pPr>
            <w:r>
              <w:rPr>
                <w:b w:val="0"/>
                <w:sz w:val="18"/>
              </w:rPr>
              <w:t>User feedback</w:t>
            </w:r>
          </w:p>
        </w:tc>
        <w:tc>
          <w:tcPr>
            <w:tcW w:type="dxa" w:w="3024"/>
            <w:shd w:fill="F8FAFB"/>
            <w:tcMar>
              <w:top w:w="65" w:type="dxa"/>
              <w:bottom w:w="65" w:type="dxa"/>
              <w:left w:w="65" w:type="dxa"/>
              <w:right w:w="65" w:type="dxa"/>
            </w:tcMar>
          </w:tcPr>
          <w:p>
            <w:pPr>
              <w:spacing w:after="60" w:before="20" w:line="240" w:lineRule="auto"/>
            </w:pPr>
            <w:r>
              <w:rPr>
                <w:b w:val="0"/>
                <w:sz w:val="18"/>
              </w:rPr>
              <w:t>Learn satisfaction and session mismatch.</w:t>
            </w:r>
          </w:p>
        </w:tc>
        <w:tc>
          <w:tcPr>
            <w:tcW w:type="dxa" w:w="5040"/>
            <w:shd w:fill="F8FAFB"/>
            <w:tcMar>
              <w:top w:w="65" w:type="dxa"/>
              <w:bottom w:w="65" w:type="dxa"/>
              <w:left w:w="65" w:type="dxa"/>
              <w:right w:w="65" w:type="dxa"/>
            </w:tcMar>
          </w:tcPr>
          <w:p>
            <w:pPr>
              <w:spacing w:after="60" w:before="20" w:line="240" w:lineRule="auto"/>
            </w:pPr>
            <w:r>
              <w:rPr>
                <w:b w:val="0"/>
                <w:sz w:val="18"/>
              </w:rPr>
              <w:t>Explicit positive/negative/abstain/missing states; silence is not success.</w:t>
            </w:r>
          </w:p>
        </w:tc>
      </w:tr>
      <w:tr>
        <w:trPr>
          <w:cantSplit/>
        </w:trPr>
        <w:tc>
          <w:tcPr>
            <w:tcW w:type="dxa" w:w="2160"/>
            <w:shd w:fill="EFF4F6"/>
            <w:tcMar>
              <w:top w:w="65" w:type="dxa"/>
              <w:bottom w:w="65" w:type="dxa"/>
              <w:left w:w="65" w:type="dxa"/>
              <w:right w:w="65" w:type="dxa"/>
            </w:tcMar>
          </w:tcPr>
          <w:p>
            <w:pPr>
              <w:spacing w:after="60" w:before="20" w:line="240" w:lineRule="auto"/>
            </w:pPr>
            <w:r>
              <w:rPr>
                <w:b w:val="0"/>
                <w:sz w:val="18"/>
              </w:rPr>
              <w:t>Blind evaluation</w:t>
            </w:r>
          </w:p>
        </w:tc>
        <w:tc>
          <w:tcPr>
            <w:tcW w:type="dxa" w:w="3024"/>
            <w:shd w:fill="EFF4F6"/>
            <w:tcMar>
              <w:top w:w="65" w:type="dxa"/>
              <w:bottom w:w="65" w:type="dxa"/>
              <w:left w:w="65" w:type="dxa"/>
              <w:right w:w="65" w:type="dxa"/>
            </w:tcMar>
          </w:tcPr>
          <w:p>
            <w:pPr>
              <w:spacing w:after="60" w:before="20" w:line="240" w:lineRule="auto"/>
            </w:pPr>
            <w:r>
              <w:rPr>
                <w:b w:val="0"/>
                <w:sz w:val="18"/>
              </w:rPr>
              <w:t>Estimate scientific performance.</w:t>
            </w:r>
          </w:p>
        </w:tc>
        <w:tc>
          <w:tcPr>
            <w:tcW w:type="dxa" w:w="5040"/>
            <w:shd w:fill="EFF4F6"/>
            <w:tcMar>
              <w:top w:w="65" w:type="dxa"/>
              <w:bottom w:w="65" w:type="dxa"/>
              <w:left w:w="65" w:type="dxa"/>
              <w:right w:w="65" w:type="dxa"/>
            </w:tcMar>
          </w:tcPr>
          <w:p>
            <w:pPr>
              <w:spacing w:after="60" w:before="20" w:line="240" w:lineRule="auto"/>
            </w:pPr>
            <w:r>
              <w:rPr>
                <w:b w:val="0"/>
                <w:sz w:val="18"/>
              </w:rPr>
              <w:t>Separate held-out scorer; no feedback into the tested policy.</w:t>
            </w:r>
          </w:p>
        </w:tc>
      </w:tr>
    </w:tbl>
    <w:p>
      <w:pPr>
        <w:spacing w:after="0"/>
      </w:pPr>
    </w:p>
    <w:p>
      <w:r>
        <w:t>Cross-family LLM judges can be useful comparators, but a different vendor does not guarantee independent errors. Measure checker false acceptance against an independent labeled subset, blind answer/model identities where possible, and audit task-specific failure modes. Mathematical tests or code tests are preferable only when they actually cover the task.</w:t>
      </w:r>
    </w:p>
    <w:p>
      <w:r>
        <w:t>One or two rejections should trigger a session-level diagnosis: missing evidence, misunderstanding, style mismatch, or inadequate reasoning may require different actions. Include clarification where appropriate. Do not globally conclude that the chosen model or entire strategy family is bad. Preserve long-term shrinkage and minimum evidence requirements.</w:t>
      </w:r>
    </w:p>
    <w:p>
      <w:pPr>
        <w:pStyle w:val="CodeBlock"/>
        <w:shd w:fill="F1F5F7"/>
      </w:pPr>
      <w:r>
        <w:rPr>
          <w:rFonts w:ascii="Liberation Mono" w:hAnsi="Liberation Mono"/>
          <w:sz w:val="16"/>
        </w:rPr>
        <w:t>FeedbackEvent.vote = accept | reject | abstain | missing</w:t>
        <w:br/>
        <w:t>FeedbackEvent.reason = optional structured reason / free text</w:t>
        <w:br/>
        <w:t>Only explicit votes update the corresponding preference channel.</w:t>
        <w:br/>
        <w:t>No hard-coded "else -&gt; success" branch.</w:t>
      </w:r>
    </w:p>
    <w:p>
      <w:pPr>
        <w:pStyle w:val="Heading2"/>
      </w:pPr>
      <w:r>
        <w:t>Auditing and exploration are different</w:t>
      </w:r>
    </w:p>
    <w:p>
      <w:r>
        <w:t>A randomized verifier audit measures the quality of already selected answers. It does not reveal how an unchosen model or path would have performed. Randomizing the computational option, with known probabilities, can supply exploration evidence. Reserve both kinds of spending explicitly.</w:t>
      </w:r>
    </w:p>
    <w:p>
      <w:r>
        <w:t>Log the behavior probability for every executed choice, including exploitation, together with the full eligibility mask and remaining budget state. Off-policy evaluation requires support for target actions. One-step propensity correction is not automatically valid for an adaptive, budget-coupled sequence; use controlled replay or prospective trials for the main claim.</w:t>
      </w:r>
    </w:p>
    <w:p>
      <w:pPr>
        <w:pStyle w:val="AuditNote"/>
        <w:shd w:fill="EAF2F3"/>
      </w:pPr>
      <w:r>
        <w:t>A feedback paper requires real, consented longitudinal preference data or an accurately labeled simulation study. Simulated votes cannot substantiate improved human satisfaction.</w:t>
      </w:r>
    </w:p>
    <w:p>
      <w:r>
        <w:br w:type="page"/>
      </w:r>
    </w:p>
    <w:p>
      <w:pPr>
        <w:pStyle w:val="Heading1"/>
      </w:pPr>
      <w:r>
        <w:t>11. Python Reference Engine</w:t>
      </w:r>
    </w:p>
    <w:p>
      <w:pPr>
        <w:pStyle w:val="PageSubtitle"/>
      </w:pPr>
      <w:r>
        <w:t>Build an evidence-producing reference before three independent runtimes</w:t>
      </w:r>
    </w:p>
    <w:p>
      <w:pPr>
        <w:pStyle w:val="CodeBlock"/>
        <w:shd w:fill="F1F5F7"/>
      </w:pPr>
      <w:r>
        <w:rPr>
          <w:rFonts w:ascii="Liberation Mono" w:hAnsi="Liberation Mono"/>
          <w:sz w:val="16"/>
        </w:rPr>
        <w:t>core/contracts.py    # strict request, option, event validation</w:t>
        <w:br/>
        <w:t>core/caps.py         # tariff-aware conservative liability bounds</w:t>
        <w:br/>
        <w:t>core/ledger.py       # durable reserve/pending/settle state machine</w:t>
        <w:br/>
        <w:t>core/graph.py        # bounded conditional option validation</w:t>
        <w:br/>
        <w:t>core/executor.py     # all billable calls require admission token</w:t>
        <w:br/>
        <w:t>core/statistics.py   # expected utility/cost + uncertainty</w:t>
        <w:br/>
        <w:t>core/planner.py      # rules, WR-style allocation, Iceberg adapter</w:t>
        <w:br/>
        <w:t>core/probes.py       # sampling, pairing, adaptation accounting</w:t>
        <w:br/>
        <w:t>core/journal.py      # immutable decisions, usage, observations</w:t>
        <w:br/>
        <w:t>baselines/          # author reference or documented reproduction</w:t>
        <w:br/>
        <w:t>experiments/        # frozen splits and matched-option comparisons</w:t>
      </w:r>
    </w:p>
    <w:p>
      <w:r>
        <w:t>Implement the ledger and fake deterministic/stochastic providers first. A synthetic harness can falsify money and branching logic without paying for language-model calls. It does not establish real model-routing effectiveness. The selection-audit companion demonstrates three such counterexamples, not an end-to-end implementation.</w:t>
      </w:r>
    </w:p>
    <w:p>
      <w:pPr>
        <w:pStyle w:val="Heading2"/>
      </w:pPr>
      <w:r>
        <w:t>Authoritative request flow</w:t>
      </w:r>
    </w:p>
    <w:p>
      <w:r>
        <w:t>Validate the option graph and tariff contract; acquire authorized features; compute and log candidate predictions; select an applicable option; atomically reserve its upper bound; execute only authorized steps; record terminal utility evidence separately from billing; leave unconfirmed liabilities pending; reconcile idempotently.</w:t>
      </w:r>
    </w:p>
    <w:p>
      <w:r>
        <w:t>Start with SQLite as a single-host durable ledger behind one authority, or another transactionally specified implementation. Multi-process/shared-store support is a separate acceptance test. Append-only JSONL/Parquet is appropriate for research records, but ordinary uncoordinated JSON writes are not a concurrency-safe budget ledger.</w:t>
      </w:r>
    </w:p>
    <w:p>
      <w:pPr>
        <w:pStyle w:val="Heading2"/>
      </w:pPr>
      <w:r>
        <w:t>Research reproduction</w:t>
      </w:r>
    </w:p>
    <w:p>
      <w:r>
        <w:t>For WISERouter, reproduce the paper’s expected-cost formulation as a named baseline first; then add the common operational governor as a separately labeled WR+Guard variant. For WR-Path, substitute frozen option arms while documenting any changed assumptions and tie handling. Do not inherit the original theorem or present the adaptation as author code. [S1]</w:t>
      </w:r>
    </w:p>
    <w:p>
      <w:pPr>
        <w:pStyle w:val="AuditNote"/>
        <w:shd w:fill="EAF2F3"/>
      </w:pPr>
      <w:r>
        <w:t>Exit gate: deterministic replay, no double-counted cost, pending billing survives restart, identical frozen baseline inputs, and an auditable result record for every workload item—including nonanswers.</w:t>
      </w:r>
    </w:p>
    <w:p>
      <w:r>
        <w:br w:type="page"/>
      </w:r>
    </w:p>
    <w:p>
      <w:pPr>
        <w:pStyle w:val="Heading1"/>
      </w:pPr>
      <w:r>
        <w:t>12. Python Code Skeleton</w:t>
      </w:r>
    </w:p>
    <w:p>
      <w:pPr>
        <w:pStyle w:val="PageSubtitle"/>
      </w:pPr>
      <w:r>
        <w:t>Corrected portable ranking boundary; admission remains a separate transaction</w:t>
      </w:r>
    </w:p>
    <w:p>
      <w:pPr>
        <w:pStyle w:val="CodeBlock"/>
        <w:shd w:fill="F1F5F7"/>
      </w:pPr>
      <w:r>
        <w:rPr>
          <w:rFonts w:ascii="Liberation Mono" w:hAnsi="Liberation Mono"/>
          <w:sz w:val="16"/>
        </w:rPr>
        <w:t>from dataclasses import dataclass</w:t>
        <w:br/>
        <w:t>from typing import Iterable</w:t>
        <w:br/>
        <w:br/>
        <w:t>@dataclass(frozen=True)</w:t>
        <w:br/>
        <w:t>class Candidate:</w:t>
        <w:br/>
        <w:t xml:space="preserve">    option_id: str      # unique, restricted ASCII identifier</w:t>
        <w:br/>
        <w:t xml:space="preserve">    score_ticks: int    # signed integer from frozen scorer</w:t>
        <w:br/>
        <w:t xml:space="preserve">    bound_nanos: int    # enforced liability cap</w:t>
        <w:br/>
        <w:t xml:space="preserve">    applicable: bool</w:t>
        <w:br/>
        <w:br/>
        <w:t>def shortlist(items: Iterable[Candidate], available: int):</w:t>
        <w:br/>
        <w:t xml:space="preserve">    if available &lt; 0:</w:t>
        <w:br/>
        <w:t xml:space="preserve">        raise ValueError("negative availability")</w:t>
        <w:br/>
        <w:t xml:space="preserve">    candidates = list(items)</w:t>
        <w:br/>
        <w:t xml:space="preserve">    if any(p.bound_nanos &lt; 0 for p in candidates):</w:t>
        <w:br/>
        <w:t xml:space="preserve">        raise ValueError("negative liability cap")</w:t>
        <w:br/>
        <w:t xml:space="preserve">    ids = [p.option_id for p in candidates]</w:t>
        <w:br/>
        <w:t xml:space="preserve">    if len(set(ids)) != len(ids):</w:t>
        <w:br/>
        <w:t xml:space="preserve">        raise ValueError("duplicate option id")</w:t>
        <w:br/>
        <w:t xml:space="preserve">    eligible = [p for p in candidates</w:t>
        <w:br/>
        <w:t xml:space="preserve">                if p.applicable and p.bound_nanos &lt;= available]</w:t>
        <w:br/>
        <w:t xml:space="preserve">    return sorted(eligible, key=lambda p:</w:t>
        <w:br/>
        <w:t xml:space="preserve">                  (-p.score_ticks, p.bound_nanos, p.option_id))</w:t>
      </w:r>
    </w:p>
    <w:p>
      <w:r>
        <w:t>The scorer must include the same utility, cost, latency, and declared risk terms for every client. At this initial portable boundary, the authority emits exact score ticks so clients do not independently approximate a neural model or disagree through floating-point ties. The tick scale, rounding rule, identifiers, and scorer version are part of the contract.</w:t>
      </w:r>
    </w:p>
    <w:p>
      <w:r>
        <w:t>After ranking, attempt atomic admission in that order. Availability may have changed since scoring; denial must cause a fresh feasibility decision or an explicit deferred result. A successful shortlist is not spending authorization. The ledger returns a unique reservation token consumed by the executor.</w:t>
      </w:r>
    </w:p>
    <w:p>
      <w:pPr>
        <w:pStyle w:val="Heading2"/>
      </w:pPr>
      <w:r>
        <w:t>What the executed audit found in the original</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4968"/>
            <w:shd w:fill="19324A"/>
            <w:tcMar>
              <w:top w:w="65" w:type="dxa"/>
              <w:bottom w:w="65" w:type="dxa"/>
              <w:left w:w="65" w:type="dxa"/>
              <w:right w:w="65" w:type="dxa"/>
            </w:tcMar>
          </w:tcPr>
          <w:p>
            <w:pPr>
              <w:spacing w:after="60" w:before="20" w:line="240" w:lineRule="auto"/>
            </w:pPr>
            <w:r>
              <w:rPr>
                <w:b/>
                <w:color w:val="FFFFFF"/>
                <w:sz w:val="18"/>
              </w:rPr>
              <w:t>Fixture</w:t>
            </w:r>
          </w:p>
        </w:tc>
        <w:tc>
          <w:tcPr>
            <w:tcW w:type="dxa" w:w="1944"/>
            <w:shd w:fill="19324A"/>
            <w:tcMar>
              <w:top w:w="65" w:type="dxa"/>
              <w:bottom w:w="65" w:type="dxa"/>
              <w:left w:w="65" w:type="dxa"/>
              <w:right w:w="65" w:type="dxa"/>
            </w:tcMar>
          </w:tcPr>
          <w:p>
            <w:pPr>
              <w:spacing w:after="60" w:before="20" w:line="240" w:lineRule="auto"/>
            </w:pPr>
            <w:r>
              <w:rPr>
                <w:b/>
                <w:color w:val="FFFFFF"/>
                <w:sz w:val="18"/>
              </w:rPr>
              <w:t>Python original</w:t>
            </w:r>
          </w:p>
        </w:tc>
        <w:tc>
          <w:tcPr>
            <w:tcW w:type="dxa" w:w="3312"/>
            <w:shd w:fill="19324A"/>
            <w:tcMar>
              <w:top w:w="65" w:type="dxa"/>
              <w:bottom w:w="65" w:type="dxa"/>
              <w:left w:w="65" w:type="dxa"/>
              <w:right w:w="65" w:type="dxa"/>
            </w:tcMar>
          </w:tcPr>
          <w:p>
            <w:pPr>
              <w:spacing w:after="60" w:before="20" w:line="240" w:lineRule="auto"/>
            </w:pPr>
            <w:r>
              <w:rPr>
                <w:b/>
                <w:color w:val="FFFFFF"/>
                <w:sz w:val="18"/>
              </w:rPr>
              <w:t>Java / TypeScript originals</w:t>
            </w:r>
          </w:p>
        </w:tc>
      </w:tr>
      <w:tr>
        <w:trPr>
          <w:cantSplit/>
        </w:trPr>
        <w:tc>
          <w:tcPr>
            <w:tcW w:type="dxa" w:w="4968"/>
            <w:shd w:fill="EFF4F6"/>
            <w:tcMar>
              <w:top w:w="65" w:type="dxa"/>
              <w:bottom w:w="65" w:type="dxa"/>
              <w:left w:w="65" w:type="dxa"/>
              <w:right w:w="65" w:type="dxa"/>
            </w:tcMar>
          </w:tcPr>
          <w:p>
            <w:pPr>
              <w:spacing w:after="60" w:before="20" w:line="240" w:lineRule="auto"/>
            </w:pPr>
            <w:r>
              <w:rPr>
                <w:b w:val="0"/>
                <w:sz w:val="18"/>
              </w:rPr>
              <w:t>Equal-score IDs a, z</w:t>
            </w:r>
          </w:p>
        </w:tc>
        <w:tc>
          <w:tcPr>
            <w:tcW w:type="dxa" w:w="1944"/>
            <w:shd w:fill="EFF4F6"/>
            <w:tcMar>
              <w:top w:w="65" w:type="dxa"/>
              <w:bottom w:w="65" w:type="dxa"/>
              <w:left w:w="65" w:type="dxa"/>
              <w:right w:w="65" w:type="dxa"/>
            </w:tcMar>
          </w:tcPr>
          <w:p>
            <w:pPr>
              <w:spacing w:after="60" w:before="20" w:line="240" w:lineRule="auto"/>
            </w:pPr>
            <w:r>
              <w:rPr>
                <w:b w:val="0"/>
                <w:sz w:val="18"/>
              </w:rPr>
              <w:t>z</w:t>
            </w:r>
          </w:p>
        </w:tc>
        <w:tc>
          <w:tcPr>
            <w:tcW w:type="dxa" w:w="3312"/>
            <w:shd w:fill="EFF4F6"/>
            <w:tcMar>
              <w:top w:w="65" w:type="dxa"/>
              <w:bottom w:w="65" w:type="dxa"/>
              <w:left w:w="65" w:type="dxa"/>
              <w:right w:w="65" w:type="dxa"/>
            </w:tcMar>
          </w:tcPr>
          <w:p>
            <w:pPr>
              <w:spacing w:after="60" w:before="20" w:line="240" w:lineRule="auto"/>
            </w:pPr>
            <w:r>
              <w:rPr>
                <w:b w:val="0"/>
                <w:sz w:val="18"/>
              </w:rPr>
              <w:t>a</w:t>
            </w:r>
          </w:p>
        </w:tc>
      </w:tr>
      <w:tr>
        <w:trPr>
          <w:cantSplit/>
        </w:trPr>
        <w:tc>
          <w:tcPr>
            <w:tcW w:type="dxa" w:w="4968"/>
            <w:shd w:fill="F8FAFB"/>
            <w:tcMar>
              <w:top w:w="65" w:type="dxa"/>
              <w:bottom w:w="65" w:type="dxa"/>
              <w:left w:w="65" w:type="dxa"/>
              <w:right w:w="65" w:type="dxa"/>
            </w:tcMar>
          </w:tcPr>
          <w:p>
            <w:pPr>
              <w:spacing w:after="60" w:before="20" w:line="240" w:lineRule="auto"/>
            </w:pPr>
            <w:r>
              <w:rPr>
                <w:b w:val="0"/>
                <w:sz w:val="18"/>
              </w:rPr>
              <w:t>Slow then fast; latency penalty &gt; 0</w:t>
            </w:r>
          </w:p>
        </w:tc>
        <w:tc>
          <w:tcPr>
            <w:tcW w:type="dxa" w:w="1944"/>
            <w:shd w:fill="F8FAFB"/>
            <w:tcMar>
              <w:top w:w="65" w:type="dxa"/>
              <w:bottom w:w="65" w:type="dxa"/>
              <w:left w:w="65" w:type="dxa"/>
              <w:right w:w="65" w:type="dxa"/>
            </w:tcMar>
          </w:tcPr>
          <w:p>
            <w:pPr>
              <w:spacing w:after="60" w:before="20" w:line="240" w:lineRule="auto"/>
            </w:pPr>
            <w:r>
              <w:rPr>
                <w:b w:val="0"/>
                <w:sz w:val="18"/>
              </w:rPr>
              <w:t>fast</w:t>
            </w:r>
          </w:p>
        </w:tc>
        <w:tc>
          <w:tcPr>
            <w:tcW w:type="dxa" w:w="3312"/>
            <w:shd w:fill="F8FAFB"/>
            <w:tcMar>
              <w:top w:w="65" w:type="dxa"/>
              <w:bottom w:w="65" w:type="dxa"/>
              <w:left w:w="65" w:type="dxa"/>
              <w:right w:w="65" w:type="dxa"/>
            </w:tcMar>
          </w:tcPr>
          <w:p>
            <w:pPr>
              <w:spacing w:after="60" w:before="20" w:line="240" w:lineRule="auto"/>
            </w:pPr>
            <w:r>
              <w:rPr>
                <w:b w:val="0"/>
                <w:sz w:val="18"/>
              </w:rPr>
              <w:t>slow</w:t>
            </w:r>
          </w:p>
        </w:tc>
      </w:tr>
      <w:tr>
        <w:trPr>
          <w:cantSplit/>
        </w:trPr>
        <w:tc>
          <w:tcPr>
            <w:tcW w:type="dxa" w:w="4968"/>
            <w:shd w:fill="EFF4F6"/>
            <w:tcMar>
              <w:top w:w="65" w:type="dxa"/>
              <w:bottom w:w="65" w:type="dxa"/>
              <w:left w:w="65" w:type="dxa"/>
              <w:right w:w="65" w:type="dxa"/>
            </w:tcMar>
          </w:tcPr>
          <w:p>
            <w:pPr>
              <w:spacing w:after="60" w:before="20" w:line="240" w:lineRule="auto"/>
            </w:pPr>
            <w:r>
              <w:rPr>
                <w:b w:val="0"/>
                <w:sz w:val="18"/>
              </w:rPr>
              <w:t>Expected $0.04; remaining $0.05</w:t>
            </w:r>
          </w:p>
        </w:tc>
        <w:tc>
          <w:tcPr>
            <w:tcW w:type="dxa" w:w="1944"/>
            <w:shd w:fill="EFF4F6"/>
            <w:tcMar>
              <w:top w:w="65" w:type="dxa"/>
              <w:bottom w:w="65" w:type="dxa"/>
              <w:left w:w="65" w:type="dxa"/>
              <w:right w:w="65" w:type="dxa"/>
            </w:tcMar>
          </w:tcPr>
          <w:p>
            <w:pPr>
              <w:spacing w:after="60" w:before="20" w:line="240" w:lineRule="auto"/>
            </w:pPr>
            <w:r>
              <w:rPr>
                <w:b w:val="0"/>
                <w:sz w:val="18"/>
              </w:rPr>
              <w:t>admits</w:t>
            </w:r>
          </w:p>
        </w:tc>
        <w:tc>
          <w:tcPr>
            <w:tcW w:type="dxa" w:w="3312"/>
            <w:shd w:fill="EFF4F6"/>
            <w:tcMar>
              <w:top w:w="65" w:type="dxa"/>
              <w:bottom w:w="65" w:type="dxa"/>
              <w:left w:w="65" w:type="dxa"/>
              <w:right w:w="65" w:type="dxa"/>
            </w:tcMar>
          </w:tcPr>
          <w:p>
            <w:pPr>
              <w:spacing w:after="60" w:before="20" w:line="240" w:lineRule="auto"/>
            </w:pPr>
            <w:r>
              <w:rPr>
                <w:b w:val="0"/>
                <w:sz w:val="18"/>
              </w:rPr>
              <w:t>admits</w:t>
            </w:r>
          </w:p>
        </w:tc>
      </w:tr>
    </w:tbl>
    <w:p>
      <w:pPr>
        <w:spacing w:after="0"/>
      </w:pPr>
    </w:p>
    <w:p>
      <w:r>
        <w:t>In the last synthetic fixture, an allowed possible bill of $0.08 would exceed remaining funds by $0.03. These results expose selector inconsistencies and missing bounds; they do not measure real provider behavior.</w:t>
      </w:r>
    </w:p>
    <w:p>
      <w:r>
        <w:br w:type="page"/>
      </w:r>
    </w:p>
    <w:p>
      <w:pPr>
        <w:pStyle w:val="Heading1"/>
      </w:pPr>
      <w:r>
        <w:t>13. Java Runtime Design</w:t>
      </w:r>
    </w:p>
    <w:p>
      <w:pPr>
        <w:pStyle w:val="PageSubtitle"/>
      </w:pPr>
      <w:r>
        <w:t>Thin client first; exact contracts before native scoring</w:t>
      </w:r>
    </w:p>
    <w:p>
      <w:r>
        <w:t>The first Java artifact is an authenticated client for route, usage status, feedback, and policy metadata. It does not maintain a separate budget authority. Use existing Java model/tool frameworks only behind the executor interface after the reference semantics pass; choosing Spring AI versus LangChain4j is an integration decision, not a scientific dependency.</w:t>
      </w:r>
    </w:p>
    <w:p>
      <w:pPr>
        <w:pStyle w:val="CodeBlock"/>
        <w:shd w:fill="F1F5F7"/>
      </w:pPr>
      <w:r>
        <w:rPr>
          <w:rFonts w:ascii="Liberation Mono" w:hAnsi="Liberation Mono"/>
          <w:sz w:val="16"/>
        </w:rPr>
        <w:t>public interface BudgetClient {</w:t>
        <w:br/>
        <w:t xml:space="preserve">    Reservation reserve(String workloadId, String decisionId,</w:t>
        <w:br/>
        <w:t xml:space="preserve">                        java.math.BigInteger boundNanos);</w:t>
        <w:br/>
        <w:t xml:space="preserve">    UsageState reconcile(String reservationId);</w:t>
        <w:br/>
        <w:t>}</w:t>
        <w:br/>
        <w:t>// PolicySnapshot is data only. It cannot contain EmbeddingClient.</w:t>
        <w:br/>
        <w:t>// The server derives available budget; the user cannot assert it.</w:t>
      </w:r>
    </w:p>
    <w:p>
      <w:pPr>
        <w:pStyle w:val="Heading2"/>
      </w:pPr>
      <w:r>
        <w:t>Native evaluator, later</w:t>
      </w:r>
    </w:p>
    <w:p>
      <w:r>
        <w:t>When a native evaluator is justified, begin with the exact scored-candidate contract on page 13. Java uses BigInteger for wire money or a validated bounded long representation. Money strings are parsed strictly; arrays and vectors have declared dimensions, finite values, normalization rules, and version hashes. Reject incompatible snapshots before use.</w:t>
      </w:r>
    </w:p>
    <w:p>
      <w:r>
        <w:t>A native utility predictor is a later extension. Common embeddings reduce one source of divergence but do not guarantee identical matrix arithmetic, model execution, calibration, or argmax decisions. Define score precision, deterministic tie order, and the handling of near-boundary predictions explicitly. Golden fixtures must test all these cases.</w:t>
      </w:r>
    </w:p>
    <w:p>
      <w:pPr>
        <w:pStyle w:val="Heading2"/>
      </w:pPr>
      <w:r>
        <w:t>Failure and cancellation</w:t>
      </w:r>
    </w:p>
    <w:p>
      <w:r>
        <w:t>An interrupted HTTP request is not a zero-cost result. On cancellation, submit a pending-usage event and reconcile through the authority. The executor must not release an unresolved reservation simply because a CompletableFuture completed exceptionally. Retried operations carry new attempt IDs and explicit additional authorization.</w:t>
      </w:r>
    </w:p>
    <w:p>
      <w:pPr>
        <w:pStyle w:val="Heading2"/>
      </w:pPr>
      <w:r>
        <w:t>Security and telemetry</w:t>
      </w:r>
    </w:p>
    <w:p>
      <w:r>
        <w:t>Bind workload IDs to authenticated tenant rights, restrict arbitrary provider URLs, and do not expose provider secrets in clients or traces. Log bounded metadata with prompt redaction controls. Return explicit deferred, failed, or billing-pending states rather than converting all failures into a successful text response.</w:t>
      </w:r>
    </w:p>
    <w:p>
      <w:pPr>
        <w:pStyle w:val="AuditNote"/>
        <w:shd w:fill="EAF2F3"/>
      </w:pPr>
      <w:r>
        <w:t>Exit gate: Java agrees with the reference on exact ranked candidates and statuses; concurrency tests demonstrate that multiple Java clients cannot independently spend the same remaining funds.</w:t>
      </w:r>
    </w:p>
    <w:p>
      <w:r>
        <w:br w:type="page"/>
      </w:r>
    </w:p>
    <w:p>
      <w:pPr>
        <w:pStyle w:val="Heading1"/>
      </w:pPr>
      <w:r>
        <w:t>14. Java Code Skeleton</w:t>
      </w:r>
    </w:p>
    <w:p>
      <w:pPr>
        <w:pStyle w:val="PageSubtitle"/>
      </w:pPr>
      <w:r>
        <w:t>Same order, same money units, same applicability boundary</w:t>
      </w:r>
    </w:p>
    <w:p>
      <w:pPr>
        <w:pStyle w:val="CodeBlock"/>
        <w:shd w:fill="F1F5F7"/>
      </w:pPr>
      <w:r>
        <w:rPr>
          <w:rFonts w:ascii="Liberation Mono" w:hAnsi="Liberation Mono"/>
          <w:sz w:val="16"/>
        </w:rPr>
        <w:t>import java.math.BigInteger;</w:t>
        <w:br/>
        <w:t>import java.util.Comparator;</w:t>
        <w:br/>
        <w:t>import java.util.List;</w:t>
        <w:br/>
        <w:br/>
        <w:t>record Candidate(String optionId, BigInteger scoreTicks,</w:t>
        <w:br/>
        <w:t xml:space="preserve">                 BigInteger boundNanos, boolean applicable) {}</w:t>
        <w:br/>
        <w:br/>
        <w:t>final class Ranking {</w:t>
        <w:br/>
        <w:t xml:space="preserve">  static List&lt;Candidate&gt; shortlist(List&lt;Candidate&gt; input,</w:t>
        <w:br/>
        <w:t xml:space="preserve">                                   BigInteger available) {</w:t>
        <w:br/>
        <w:t xml:space="preserve">    if (available.signum() &lt; 0)</w:t>
        <w:br/>
        <w:t xml:space="preserve">      throw new IllegalArgumentException("negative availability");</w:t>
        <w:br/>
        <w:t xml:space="preserve">    for (var x : input)</w:t>
        <w:br/>
        <w:t xml:space="preserve">      if (x.boundNanos().signum() &lt; 0)</w:t>
        <w:br/>
        <w:t xml:space="preserve">        throw new IllegalArgumentException("negative cap");</w:t>
        <w:br/>
        <w:t xml:space="preserve">    if (input.stream().map(Candidate::optionId).distinct().count()</w:t>
        <w:br/>
        <w:t xml:space="preserve">        != input.size())</w:t>
        <w:br/>
        <w:t xml:space="preserve">      throw new IllegalArgumentException("duplicate option id");</w:t>
        <w:br/>
        <w:t xml:space="preserve">    Comparator&lt;Candidate&gt; order =</w:t>
        <w:br/>
        <w:t xml:space="preserve">      Comparator.comparing(Candidate::scoreTicks).reversed()</w:t>
        <w:br/>
        <w:t xml:space="preserve">        .thenComparing(Candidate::boundNanos)</w:t>
        <w:br/>
        <w:t xml:space="preserve">        .thenComparing(Candidate::optionId);</w:t>
        <w:br/>
        <w:t xml:space="preserve">    return input.stream().filter(x -&gt; x.applicable() &amp;&amp;</w:t>
        <w:br/>
        <w:t xml:space="preserve">      x.boundNanos().compareTo(available) &lt;= 0)</w:t>
        <w:br/>
        <w:t xml:space="preserve">      .sorted(order).toList();</w:t>
        <w:br/>
        <w:t xml:space="preserve">  }</w:t>
        <w:br/>
        <w:t>}</w:t>
      </w:r>
    </w:p>
    <w:p>
      <w:r>
        <w:t>This example ranks already scored candidates. Restricted ASCII IDs make ordering equivalent to the Python and TypeScript examples. Schema validation additionally rejects nulls, invalid identifiers, invalid money strings, stale epochs, and malformed input; this small example is not a production transaction manager.</w:t>
      </w:r>
    </w:p>
    <w:p>
      <w:r>
        <w:t>An empty list produces the same explicit no-admissible-option state in every runtime. Do not replace it with a forced frontier call. The caller must obtain an atomic reservation for the chosen candidate before invoking any billable resource.</w:t>
      </w:r>
    </w:p>
    <w:p>
      <w:pPr>
        <w:pStyle w:val="AuditNote"/>
        <w:shd w:fill="EAF2F3"/>
      </w:pPr>
      <w:r>
        <w:t>Original defect corrected: Java omitted Python’s latency penalty and used first-seen tie breaking. Central score ticks include the agreed latency term; the shared deterministic ordering removes insertion-order dependence.</w:t>
      </w:r>
    </w:p>
    <w:p>
      <w:r>
        <w:br w:type="page"/>
      </w:r>
    </w:p>
    <w:p>
      <w:pPr>
        <w:pStyle w:val="Heading1"/>
      </w:pPr>
      <w:r>
        <w:t>15. TypeScript Runtime Design</w:t>
      </w:r>
    </w:p>
    <w:p>
      <w:pPr>
        <w:pStyle w:val="PageSubtitle"/>
      </w:pPr>
      <w:r>
        <w:t>Node client first; no browser-owned monetary authority</w:t>
      </w:r>
    </w:p>
    <w:p>
      <w:r>
        <w:t>Implement the TypeScript package as a Node client and UI adapter first. Browser applications may submit requests and feedback but must not hold provider credentials, mutate budget records, or redefine policy bounds. Any edge execution remains subject to the same authoritative admission service.</w:t>
      </w:r>
    </w:p>
    <w:p>
      <w:pPr>
        <w:pStyle w:val="Heading2"/>
      </w:pPr>
      <w:r>
        <w:t>Exact serialization</w:t>
      </w:r>
    </w:p>
    <w:p>
      <w:pPr>
        <w:pStyle w:val="CodeBlock"/>
        <w:shd w:fill="F1F5F7"/>
      </w:pPr>
      <w:r>
        <w:rPr>
          <w:rFonts w:ascii="Liberation Mono" w:hAnsi="Liberation Mono"/>
          <w:sz w:val="16"/>
        </w:rPr>
        <w:t>type CandidateWire = {</w:t>
        <w:br/>
        <w:t xml:space="preserve">  optionId: string;</w:t>
        <w:br/>
        <w:t xml:space="preserve">  scoreTicks: string;   // decimal integer, never JSON number</w:t>
        <w:br/>
        <w:t xml:space="preserve">  boundNanos: string;</w:t>
        <w:br/>
        <w:t xml:space="preserve">  applicable: boolean;</w:t>
        <w:br/>
        <w:t>};</w:t>
        <w:br/>
        <w:t>// Parse with BigInt after schema checks.</w:t>
        <w:br/>
        <w:t>// Serialize BigInt deliberately as a decimal string.</w:t>
      </w:r>
    </w:p>
    <w:p>
      <w:r>
        <w:t>JavaScript numbers cannot represent all ledger-sized integers exactly. Use bigint internally and decimal strings on the wire. Do not mix float USD values with integer nanodollars. Pin supported bounds, tariff rounding, and authorization scopes in a shared schema rather than duplicating informal constants.</w:t>
      </w:r>
    </w:p>
    <w:p>
      <w:pPr>
        <w:pStyle w:val="Heading2"/>
      </w:pPr>
      <w:r>
        <w:t>Streaming and retry</w:t>
      </w:r>
    </w:p>
    <w:p>
      <w:r>
        <w:t>AbortSignal stops the client-side wait; it does not prove provider cancellation or settle the invoice. In finally, record the attempt’s known state and ensure reconciliation is scheduled in the implemented service. Never unconditionally settle unknown usage as zero or release its hold.</w:t>
      </w:r>
    </w:p>
    <w:p>
      <w:r>
        <w:t>Vercel AI SDK, Portkey, or another provider abstraction can sit behind a tested adapter. Streaming, retry, fallback, and tool-call semantics must be disclosed and charged. Do not allow SDK defaults to silently add extra model calls outside the option graph. Keep the gateway replaceable rather than fork it simply because it uses TypeScript.</w:t>
      </w:r>
    </w:p>
    <w:p>
      <w:pPr>
        <w:pStyle w:val="Heading2"/>
      </w:pPr>
      <w:r>
        <w:t>What portability means</w:t>
      </w:r>
    </w:p>
    <w:p>
      <w:r>
        <w:t>The first conformance goal is equivalent validation, ranking, reservation behavior, and event semantics—not byte-identical LLM answers. A provider seed does not ensure identical remote generations. Model stochasticity and runtime nondeterminism remain measured properties of executions, not defects that the JSON policy automatically eliminates.</w:t>
      </w:r>
    </w:p>
    <w:p>
      <w:pPr>
        <w:pStyle w:val="AuditNote"/>
        <w:shd w:fill="EAF2F3"/>
      </w:pPr>
      <w:r>
        <w:t>Exit gate: budget and policy behavior is the same under cancellation, stream interruption, malformed input, old snapshots, and concurrent requests from all supported client languages.</w:t>
      </w:r>
    </w:p>
    <w:p>
      <w:r>
        <w:br w:type="page"/>
      </w:r>
    </w:p>
    <w:p>
      <w:pPr>
        <w:pStyle w:val="Heading1"/>
      </w:pPr>
      <w:r>
        <w:t>16. TypeScript Code Skeleton</w:t>
      </w:r>
    </w:p>
    <w:p>
      <w:pPr>
        <w:pStyle w:val="PageSubtitle"/>
      </w:pPr>
      <w:r>
        <w:t>Portable integer-ranked candidates and explicit tie handling</w:t>
      </w:r>
    </w:p>
    <w:p>
      <w:pPr>
        <w:pStyle w:val="CodeBlock"/>
        <w:shd w:fill="F1F5F7"/>
      </w:pPr>
      <w:r>
        <w:rPr>
          <w:rFonts w:ascii="Liberation Mono" w:hAnsi="Liberation Mono"/>
          <w:sz w:val="16"/>
        </w:rPr>
        <w:t>type Candidate = {</w:t>
        <w:br/>
        <w:t xml:space="preserve">  optionId: string; scoreTicks: bigint;</w:t>
        <w:br/>
        <w:t xml:space="preserve">  boundNanos: bigint; applicable: boolean;</w:t>
        <w:br/>
        <w:t>};</w:t>
        <w:br/>
        <w:br/>
        <w:t>export function shortlist(xs: Candidate[], available: bigint) {</w:t>
        <w:br/>
        <w:t xml:space="preserve">  if (available &lt; 0n) throw new Error("negative availability");</w:t>
        <w:br/>
        <w:t xml:space="preserve">  if (xs.some(x =&gt; x.boundNanos &lt; 0n))</w:t>
        <w:br/>
        <w:t xml:space="preserve">    throw new Error("negative cap");</w:t>
        <w:br/>
        <w:t xml:space="preserve">  if (new Set(xs.map(x =&gt; x.optionId)).size !== xs.length)</w:t>
        <w:br/>
        <w:t xml:space="preserve">    throw new Error("duplicate option id");</w:t>
        <w:br/>
        <w:t xml:space="preserve">  return xs.filter(x =&gt; x.applicable &amp;&amp;</w:t>
        <w:br/>
        <w:t xml:space="preserve">                       x.boundNanos &lt;= available).sort((a,b) =&gt; {</w:t>
        <w:br/>
        <w:t xml:space="preserve">    if (a.scoreTicks !== b.scoreTicks)</w:t>
        <w:br/>
        <w:t xml:space="preserve">      return a.scoreTicks &gt; b.scoreTicks ? -1 : 1;</w:t>
        <w:br/>
        <w:t xml:space="preserve">    if (a.boundNanos !== b.boundNanos)</w:t>
        <w:br/>
        <w:t xml:space="preserve">      return a.boundNanos &lt; b.boundNanos ? -1 : 1;</w:t>
        <w:br/>
        <w:t xml:space="preserve">    return a.optionId &lt; b.optionId ? -1 :</w:t>
        <w:br/>
        <w:t xml:space="preserve">           a.optionId &gt; b.optionId ? 1 : 0;</w:t>
        <w:br/>
        <w:t xml:space="preserve">  });</w:t>
        <w:br/>
        <w:t>}</w:t>
      </w:r>
    </w:p>
    <w:p>
      <w:r>
        <w:t>Restrict option identifiers to the same ASCII grammar as Java/Python. Avoid localeCompare for protocol ordering because deployment locale must not change policy choices. Null checks and decimal-string validation belong at the schema boundary; these snippets deliberately illustrate only the corrected ranking contract.</w:t>
      </w:r>
    </w:p>
    <w:p>
      <w:pPr>
        <w:pStyle w:val="Heading2"/>
      </w:pPr>
      <w:r>
        <w:t>Conformance fixture set</w:t>
      </w:r>
    </w:p>
    <w:p>
      <w:r>
        <w:t>Test equal scores, equal caps, different insertion order, a latency-driven ranking reversal, cap exactly equal to remaining money, expected cost below remaining but cap above it, incompatible option capabilities, malformed numbers, duplicate IDs, and no eligible option. Use identical frozen inputs, not fresh embeddings from independent network calls.</w:t>
      </w:r>
    </w:p>
    <w:p>
      <w:r>
        <w:t>The selection counterexamples were executed for the original rules. The replacement code on pages 13, 15, and 17 is a proposed contract implementation; it still requires the ledger, executor, schema, and end-to-end tests before deployment. Do not label a passing rank comparator as a completed router.</w:t>
      </w:r>
    </w:p>
    <w:p>
      <w:pPr>
        <w:pStyle w:val="AuditNote"/>
        <w:shd w:fill="EAF2F3"/>
      </w:pPr>
      <w:r>
        <w:t>Final admission is atomic and authoritative. A valid option may cease to be affordable between local scoring and reservation; all languages must handle that race by reranking or deferring, never by spending anyway.</w:t>
      </w:r>
    </w:p>
    <w:p>
      <w:r>
        <w:br w:type="page"/>
      </w:r>
    </w:p>
    <w:p>
      <w:pPr>
        <w:pStyle w:val="Heading1"/>
      </w:pPr>
      <w:r>
        <w:t>17. Observability, Evaluation, and Baselines</w:t>
      </w:r>
    </w:p>
    <w:p>
      <w:pPr>
        <w:pStyle w:val="PageSubtitle"/>
      </w:pPr>
      <w:r>
        <w:t>Equal tools, equal information, equal billing controls</w:t>
      </w:r>
    </w:p>
    <w:tbl>
      <w:tblPr>
        <w:tblW w:type="auto" w:w="0"/>
        <w:tblLayout w:type="fixed"/>
        <w:tblLook w:firstColumn="1" w:firstRow="1" w:lastColumn="0" w:lastRow="0" w:noHBand="0" w:noVBand="1" w:val="04A0"/>
      </w:tblPr>
      <w:tblGrid>
        <w:gridCol w:w="5112"/>
        <w:gridCol w:w="5112"/>
      </w:tblGrid>
      <w:tr>
        <w:trPr>
          <w:cantSplit/>
          <w:tblHeader/>
        </w:trPr>
        <w:tc>
          <w:tcPr>
            <w:tcW w:type="dxa" w:w="3240"/>
            <w:shd w:fill="19324A"/>
            <w:tcMar>
              <w:top w:w="65" w:type="dxa"/>
              <w:bottom w:w="65" w:type="dxa"/>
              <w:left w:w="65" w:type="dxa"/>
              <w:right w:w="65" w:type="dxa"/>
            </w:tcMar>
          </w:tcPr>
          <w:p>
            <w:pPr>
              <w:spacing w:after="60" w:before="20" w:line="240" w:lineRule="auto"/>
            </w:pPr>
            <w:r>
              <w:rPr>
                <w:b/>
                <w:color w:val="FFFFFF"/>
                <w:sz w:val="18"/>
              </w:rPr>
              <w:t>Required comparison</w:t>
            </w:r>
          </w:p>
        </w:tc>
        <w:tc>
          <w:tcPr>
            <w:tcW w:type="dxa" w:w="6984"/>
            <w:shd w:fill="19324A"/>
            <w:tcMar>
              <w:top w:w="65" w:type="dxa"/>
              <w:bottom w:w="65" w:type="dxa"/>
              <w:left w:w="65" w:type="dxa"/>
              <w:right w:w="65" w:type="dxa"/>
            </w:tcMar>
          </w:tcPr>
          <w:p>
            <w:pPr>
              <w:spacing w:after="60" w:before="20" w:line="240" w:lineRule="auto"/>
            </w:pPr>
            <w:r>
              <w:rPr>
                <w:b/>
                <w:color w:val="FFFFFF"/>
                <w:sz w:val="18"/>
              </w:rPr>
              <w:t>Why it matters</w:t>
            </w:r>
          </w:p>
        </w:tc>
      </w:tr>
      <w:tr>
        <w:trPr>
          <w:cantSplit/>
        </w:trPr>
        <w:tc>
          <w:tcPr>
            <w:tcW w:type="dxa" w:w="3240"/>
            <w:shd w:fill="EFF4F6"/>
            <w:tcMar>
              <w:top w:w="65" w:type="dxa"/>
              <w:bottom w:w="65" w:type="dxa"/>
              <w:left w:w="65" w:type="dxa"/>
              <w:right w:w="65" w:type="dxa"/>
            </w:tcMar>
          </w:tcPr>
          <w:p>
            <w:pPr>
              <w:spacing w:after="60" w:before="20" w:line="240" w:lineRule="auto"/>
            </w:pPr>
            <w:r>
              <w:rPr>
                <w:b w:val="0"/>
                <w:sz w:val="18"/>
              </w:rPr>
              <w:t>Tool-first + fixed best validated model</w:t>
            </w:r>
          </w:p>
        </w:tc>
        <w:tc>
          <w:tcPr>
            <w:tcW w:type="dxa" w:w="6984"/>
            <w:shd w:fill="EFF4F6"/>
            <w:tcMar>
              <w:top w:w="65" w:type="dxa"/>
              <w:bottom w:w="65" w:type="dxa"/>
              <w:left w:w="65" w:type="dxa"/>
              <w:right w:w="65" w:type="dxa"/>
            </w:tcMar>
          </w:tcPr>
          <w:p>
            <w:pPr>
              <w:spacing w:after="60" w:before="20" w:line="240" w:lineRule="auto"/>
            </w:pPr>
            <w:r>
              <w:rPr>
                <w:b w:val="0"/>
                <w:sz w:val="18"/>
              </w:rPr>
              <w:t>Excludes trivial benefits from adding a calculator or test runner.</w:t>
            </w:r>
          </w:p>
        </w:tc>
      </w:tr>
      <w:tr>
        <w:trPr>
          <w:cantSplit/>
        </w:trPr>
        <w:tc>
          <w:tcPr>
            <w:tcW w:type="dxa" w:w="3240"/>
            <w:shd w:fill="F8FAFB"/>
            <w:tcMar>
              <w:top w:w="65" w:type="dxa"/>
              <w:bottom w:w="65" w:type="dxa"/>
              <w:left w:w="65" w:type="dxa"/>
              <w:right w:w="65" w:type="dxa"/>
            </w:tcMar>
          </w:tcPr>
          <w:p>
            <w:pPr>
              <w:spacing w:after="60" w:before="20" w:line="240" w:lineRule="auto"/>
            </w:pPr>
            <w:r>
              <w:rPr>
                <w:b w:val="0"/>
                <w:sz w:val="18"/>
              </w:rPr>
              <w:t>Static task rules and matched random mixture</w:t>
            </w:r>
          </w:p>
        </w:tc>
        <w:tc>
          <w:tcPr>
            <w:tcW w:type="dxa" w:w="6984"/>
            <w:shd w:fill="F8FAFB"/>
            <w:tcMar>
              <w:top w:w="65" w:type="dxa"/>
              <w:bottom w:w="65" w:type="dxa"/>
              <w:left w:w="65" w:type="dxa"/>
              <w:right w:w="65" w:type="dxa"/>
            </w:tcMar>
          </w:tcPr>
          <w:p>
            <w:pPr>
              <w:spacing w:after="60" w:before="20" w:line="240" w:lineRule="auto"/>
            </w:pPr>
            <w:r>
              <w:rPr>
                <w:b w:val="0"/>
                <w:sz w:val="18"/>
              </w:rPr>
              <w:t>Tests whether semantic/learned routing adds value beyond task proportions.</w:t>
            </w:r>
          </w:p>
        </w:tc>
      </w:tr>
      <w:tr>
        <w:trPr>
          <w:cantSplit/>
        </w:trPr>
        <w:tc>
          <w:tcPr>
            <w:tcW w:type="dxa" w:w="3240"/>
            <w:shd w:fill="EFF4F6"/>
            <w:tcMar>
              <w:top w:w="65" w:type="dxa"/>
              <w:bottom w:w="65" w:type="dxa"/>
              <w:left w:w="65" w:type="dxa"/>
              <w:right w:w="65" w:type="dxa"/>
            </w:tcMar>
          </w:tcPr>
          <w:p>
            <w:pPr>
              <w:spacing w:after="60" w:before="20" w:line="240" w:lineRule="auto"/>
            </w:pPr>
            <w:r>
              <w:rPr>
                <w:b w:val="0"/>
                <w:sz w:val="18"/>
              </w:rPr>
              <w:t>RouteLLM; selected modern router baseline</w:t>
            </w:r>
          </w:p>
        </w:tc>
        <w:tc>
          <w:tcPr>
            <w:tcW w:type="dxa" w:w="6984"/>
            <w:shd w:fill="EFF4F6"/>
            <w:tcMar>
              <w:top w:w="65" w:type="dxa"/>
              <w:bottom w:w="65" w:type="dxa"/>
              <w:left w:w="65" w:type="dxa"/>
              <w:right w:w="65" w:type="dxa"/>
            </w:tcMar>
          </w:tcPr>
          <w:p>
            <w:pPr>
              <w:spacing w:after="60" w:before="20" w:line="240" w:lineRule="auto"/>
            </w:pPr>
            <w:r>
              <w:rPr>
                <w:b w:val="0"/>
                <w:sz w:val="18"/>
              </w:rPr>
              <w:t>Preserves a standard model-only comparison.</w:t>
            </w:r>
          </w:p>
        </w:tc>
      </w:tr>
      <w:tr>
        <w:trPr>
          <w:cantSplit/>
        </w:trPr>
        <w:tc>
          <w:tcPr>
            <w:tcW w:type="dxa" w:w="3240"/>
            <w:shd w:fill="F8FAFB"/>
            <w:tcMar>
              <w:top w:w="65" w:type="dxa"/>
              <w:bottom w:w="65" w:type="dxa"/>
              <w:left w:w="65" w:type="dxa"/>
              <w:right w:w="65" w:type="dxa"/>
            </w:tcMar>
          </w:tcPr>
          <w:p>
            <w:pPr>
              <w:spacing w:after="60" w:before="20" w:line="240" w:lineRule="auto"/>
            </w:pPr>
            <w:r>
              <w:rPr>
                <w:b w:val="0"/>
                <w:sz w:val="18"/>
              </w:rPr>
              <w:t>WR and WR+Guard</w:t>
            </w:r>
          </w:p>
        </w:tc>
        <w:tc>
          <w:tcPr>
            <w:tcW w:type="dxa" w:w="6984"/>
            <w:shd w:fill="F8FAFB"/>
            <w:tcMar>
              <w:top w:w="65" w:type="dxa"/>
              <w:bottom w:w="65" w:type="dxa"/>
              <w:left w:w="65" w:type="dxa"/>
              <w:right w:w="65" w:type="dxa"/>
            </w:tcMar>
          </w:tcPr>
          <w:p>
            <w:pPr>
              <w:spacing w:after="60" w:before="20" w:line="240" w:lineRule="auto"/>
            </w:pPr>
            <w:r>
              <w:rPr>
                <w:b w:val="0"/>
                <w:sz w:val="18"/>
              </w:rPr>
              <w:t>Separates reproduction of expected-cost optimization from our added spend guard.</w:t>
            </w:r>
          </w:p>
        </w:tc>
      </w:tr>
      <w:tr>
        <w:trPr>
          <w:cantSplit/>
        </w:trPr>
        <w:tc>
          <w:tcPr>
            <w:tcW w:type="dxa" w:w="3240"/>
            <w:shd w:fill="EFF4F6"/>
            <w:tcMar>
              <w:top w:w="65" w:type="dxa"/>
              <w:bottom w:w="65" w:type="dxa"/>
              <w:left w:w="65" w:type="dxa"/>
              <w:right w:w="65" w:type="dxa"/>
            </w:tcMar>
          </w:tcPr>
          <w:p>
            <w:pPr>
              <w:spacing w:after="60" w:before="20" w:line="240" w:lineRule="auto"/>
            </w:pPr>
            <w:r>
              <w:rPr>
                <w:b w:val="0"/>
                <w:sz w:val="18"/>
              </w:rPr>
              <w:t>WR-Path+Guard</w:t>
            </w:r>
          </w:p>
        </w:tc>
        <w:tc>
          <w:tcPr>
            <w:tcW w:type="dxa" w:w="6984"/>
            <w:shd w:fill="EFF4F6"/>
            <w:tcMar>
              <w:top w:w="65" w:type="dxa"/>
              <w:bottom w:w="65" w:type="dxa"/>
              <w:left w:w="65" w:type="dxa"/>
              <w:right w:w="65" w:type="dxa"/>
            </w:tcMar>
          </w:tcPr>
          <w:p>
            <w:pPr>
              <w:spacing w:after="60" w:before="20" w:line="240" w:lineRule="auto"/>
            </w:pPr>
            <w:r>
              <w:rPr>
                <w:b w:val="0"/>
                <w:sz w:val="18"/>
              </w:rPr>
              <w:t>WISERouter-style allocation over our same fixed options: decisive control.</w:t>
            </w:r>
          </w:p>
        </w:tc>
      </w:tr>
      <w:tr>
        <w:trPr>
          <w:cantSplit/>
        </w:trPr>
        <w:tc>
          <w:tcPr>
            <w:tcW w:type="dxa" w:w="3240"/>
            <w:shd w:fill="F8FAFB"/>
            <w:tcMar>
              <w:top w:w="65" w:type="dxa"/>
              <w:bottom w:w="65" w:type="dxa"/>
              <w:left w:w="65" w:type="dxa"/>
              <w:right w:w="65" w:type="dxa"/>
            </w:tcMar>
          </w:tcPr>
          <w:p>
            <w:pPr>
              <w:spacing w:after="60" w:before="20" w:line="240" w:lineRule="auto"/>
            </w:pPr>
            <w:r>
              <w:rPr>
                <w:b w:val="0"/>
                <w:sz w:val="18"/>
              </w:rPr>
              <w:t>Cascade Routing; model × effort baseline</w:t>
            </w:r>
          </w:p>
        </w:tc>
        <w:tc>
          <w:tcPr>
            <w:tcW w:type="dxa" w:w="6984"/>
            <w:shd w:fill="F8FAFB"/>
            <w:tcMar>
              <w:top w:w="65" w:type="dxa"/>
              <w:bottom w:w="65" w:type="dxa"/>
              <w:left w:w="65" w:type="dxa"/>
              <w:right w:w="65" w:type="dxa"/>
            </w:tcMar>
          </w:tcPr>
          <w:p>
            <w:pPr>
              <w:spacing w:after="60" w:before="20" w:line="240" w:lineRule="auto"/>
            </w:pPr>
            <w:r>
              <w:rPr>
                <w:b w:val="0"/>
                <w:sz w:val="18"/>
              </w:rPr>
              <w:t>Controls for established cascading and R2-style generation-budget choice.</w:t>
            </w:r>
          </w:p>
        </w:tc>
      </w:tr>
      <w:tr>
        <w:trPr>
          <w:cantSplit/>
        </w:trPr>
        <w:tc>
          <w:tcPr>
            <w:tcW w:type="dxa" w:w="3240"/>
            <w:shd w:fill="EFF4F6"/>
            <w:tcMar>
              <w:top w:w="65" w:type="dxa"/>
              <w:bottom w:w="65" w:type="dxa"/>
              <w:left w:w="65" w:type="dxa"/>
              <w:right w:w="65" w:type="dxa"/>
            </w:tcMar>
          </w:tcPr>
          <w:p>
            <w:pPr>
              <w:spacing w:after="60" w:before="20" w:line="240" w:lineRule="auto"/>
            </w:pPr>
            <w:r>
              <w:rPr>
                <w:b w:val="0"/>
                <w:sz w:val="18"/>
              </w:rPr>
              <w:t>Iceberg random / stratified / active probes</w:t>
            </w:r>
          </w:p>
        </w:tc>
        <w:tc>
          <w:tcPr>
            <w:tcW w:type="dxa" w:w="6984"/>
            <w:shd w:fill="EFF4F6"/>
            <w:tcMar>
              <w:top w:w="65" w:type="dxa"/>
              <w:bottom w:w="65" w:type="dxa"/>
              <w:left w:w="65" w:type="dxa"/>
              <w:right w:w="65" w:type="dxa"/>
            </w:tcMar>
          </w:tcPr>
          <w:p>
            <w:pPr>
              <w:spacing w:after="60" w:before="20" w:line="240" w:lineRule="auto"/>
            </w:pPr>
            <w:r>
              <w:rPr>
                <w:b w:val="0"/>
                <w:sz w:val="18"/>
              </w:rPr>
              <w:t>Separates extra data, representativeness, and scheduling effects.</w:t>
            </w:r>
          </w:p>
        </w:tc>
      </w:tr>
    </w:tbl>
    <w:p>
      <w:pPr>
        <w:spacing w:after="0"/>
      </w:pPr>
    </w:p>
    <w:p>
      <w:r>
        <w:t>All matched experiments share option versions, provider pricing, token caps, checker access, tool permissions, budget governor, workload visibility, and allowed abstention. A model-only system denied tools is a diagnostic comparison, not the sole evidence for algorithmic superiority. [S1–S4, S15]</w:t>
      </w:r>
    </w:p>
    <w:p>
      <w:pPr>
        <w:pStyle w:val="Heading2"/>
      </w:pPr>
      <w:r>
        <w:t>What offline records can establish</w:t>
      </w:r>
    </w:p>
    <w:p>
      <w:r>
        <w:t>LLMRouterBench offers query/model output, score, token, and cost records. Its 400K+ figure describes benchmark instances across model evaluations, not 400K distinct prompts to assume. Independent completion rows can evaluate single-call routing but cannot reconstruct conditional critique/repair or verifier-conditioned continuations. Those require actual execution traces. [S7]</w:t>
      </w:r>
    </w:p>
    <w:p>
      <w:pPr>
        <w:pStyle w:val="Heading2"/>
      </w:pPr>
      <w:r>
        <w:t>Primary measurement</w:t>
      </w:r>
    </w:p>
    <w:p>
      <w:r>
        <w:t>Use total utility divided by the original workload size, along with coverage, quality among served tasks, spend, unresolved holds, cap failures, latency, and overhead. Report per-task slices. An algorithm that skips hard tasks must not appear superior simply by removing failures from its denominator.</w:t>
      </w:r>
    </w:p>
    <w:p>
      <w:r>
        <w:t>Keep three cost accounts visible: reusable development/training cost; adaptation and serving spend governed by B; and blind final evaluation cost. Any evaluator that changes routing belongs inside adaptation/serving. Report total project cost and amortization separately so “free learning” is not hidden.</w:t>
      </w:r>
    </w:p>
    <w:p>
      <w:pPr>
        <w:pStyle w:val="AuditNote"/>
        <w:shd w:fill="EAF2F3"/>
      </w:pPr>
      <w:r>
        <w:t>Do not use a single-draw hindsight winner as the realistic oracle. Use repeated outcomes on an independently selected subset and distinguish estimated expected-utility references from unattainable realized-outcome oracles. [S12]</w:t>
      </w:r>
    </w:p>
    <w:p>
      <w:r>
        <w:br w:type="page"/>
      </w:r>
    </w:p>
    <w:p>
      <w:pPr>
        <w:pStyle w:val="Heading1"/>
      </w:pPr>
      <w:r>
        <w:t>18. Experiment Matrix and Publishability Gates</w:t>
      </w:r>
    </w:p>
    <w:p>
      <w:pPr>
        <w:pStyle w:val="PageSubtitle"/>
      </w:pPr>
      <w:r>
        <w:t>Predeclare the tests; narrow the first paper</w:t>
      </w:r>
    </w:p>
    <w:tbl>
      <w:tblPr>
        <w:tblW w:type="auto" w:w="0"/>
        <w:tblLayout w:type="fixed"/>
        <w:tblLook w:firstColumn="1" w:firstRow="1" w:lastColumn="0" w:lastRow="0" w:noHBand="0" w:noVBand="1" w:val="04A0"/>
      </w:tblPr>
      <w:tblGrid>
        <w:gridCol w:w="5112"/>
        <w:gridCol w:w="5112"/>
      </w:tblGrid>
      <w:tr>
        <w:trPr>
          <w:cantSplit/>
          <w:tblHeader/>
        </w:trPr>
        <w:tc>
          <w:tcPr>
            <w:tcW w:type="dxa" w:w="2448"/>
            <w:shd w:fill="19324A"/>
            <w:tcMar>
              <w:top w:w="65" w:type="dxa"/>
              <w:bottom w:w="65" w:type="dxa"/>
              <w:left w:w="65" w:type="dxa"/>
              <w:right w:w="65" w:type="dxa"/>
            </w:tcMar>
          </w:tcPr>
          <w:p>
            <w:pPr>
              <w:spacing w:after="60" w:before="20" w:line="240" w:lineRule="auto"/>
            </w:pPr>
            <w:r>
              <w:rPr>
                <w:b/>
                <w:color w:val="FFFFFF"/>
                <w:sz w:val="18"/>
              </w:rPr>
              <w:t>Dimension</w:t>
            </w:r>
          </w:p>
        </w:tc>
        <w:tc>
          <w:tcPr>
            <w:tcW w:type="dxa" w:w="7776"/>
            <w:shd w:fill="19324A"/>
            <w:tcMar>
              <w:top w:w="65" w:type="dxa"/>
              <w:bottom w:w="65" w:type="dxa"/>
              <w:left w:w="65" w:type="dxa"/>
              <w:right w:w="65" w:type="dxa"/>
            </w:tcMar>
          </w:tcPr>
          <w:p>
            <w:pPr>
              <w:spacing w:after="60" w:before="20" w:line="240" w:lineRule="auto"/>
            </w:pPr>
            <w:r>
              <w:rPr>
                <w:b/>
                <w:color w:val="FFFFFF"/>
                <w:sz w:val="18"/>
              </w:rPr>
              <w:t>Initial protocol</w:t>
            </w:r>
          </w:p>
        </w:tc>
      </w:tr>
      <w:tr>
        <w:trPr>
          <w:cantSplit/>
        </w:trPr>
        <w:tc>
          <w:tcPr>
            <w:tcW w:type="dxa" w:w="2448"/>
            <w:shd w:fill="EFF4F6"/>
            <w:tcMar>
              <w:top w:w="65" w:type="dxa"/>
              <w:bottom w:w="65" w:type="dxa"/>
              <w:left w:w="65" w:type="dxa"/>
              <w:right w:w="65" w:type="dxa"/>
            </w:tcMar>
          </w:tcPr>
          <w:p>
            <w:pPr>
              <w:spacing w:after="60" w:before="20" w:line="240" w:lineRule="auto"/>
            </w:pPr>
            <w:r>
              <w:rPr>
                <w:b w:val="0"/>
                <w:sz w:val="18"/>
              </w:rPr>
              <w:t>Tasks/options</w:t>
            </w:r>
          </w:p>
        </w:tc>
        <w:tc>
          <w:tcPr>
            <w:tcW w:type="dxa" w:w="7776"/>
            <w:shd w:fill="EFF4F6"/>
            <w:tcMar>
              <w:top w:w="65" w:type="dxa"/>
              <w:bottom w:w="65" w:type="dxa"/>
              <w:left w:w="65" w:type="dxa"/>
              <w:right w:w="65" w:type="dxa"/>
            </w:tcMar>
          </w:tcPr>
          <w:p>
            <w:pPr>
              <w:spacing w:after="60" w:before="20" w:line="240" w:lineRule="auto"/>
            </w:pPr>
            <w:r>
              <w:rPr>
                <w:b w:val="0"/>
                <w:sz w:val="18"/>
              </w:rPr>
              <w:t>Two or three task families; 5–8 frozen options; separate deterministic-tool slice.</w:t>
            </w:r>
          </w:p>
        </w:tc>
      </w:tr>
      <w:tr>
        <w:trPr>
          <w:cantSplit/>
        </w:trPr>
        <w:tc>
          <w:tcPr>
            <w:tcW w:type="dxa" w:w="2448"/>
            <w:shd w:fill="F8FAFB"/>
            <w:tcMar>
              <w:top w:w="65" w:type="dxa"/>
              <w:bottom w:w="65" w:type="dxa"/>
              <w:left w:w="65" w:type="dxa"/>
              <w:right w:w="65" w:type="dxa"/>
            </w:tcMar>
          </w:tcPr>
          <w:p>
            <w:pPr>
              <w:spacing w:after="60" w:before="20" w:line="240" w:lineRule="auto"/>
            </w:pPr>
            <w:r>
              <w:rPr>
                <w:b w:val="0"/>
                <w:sz w:val="18"/>
              </w:rPr>
              <w:t>Budget/probes</w:t>
            </w:r>
          </w:p>
        </w:tc>
        <w:tc>
          <w:tcPr>
            <w:tcW w:type="dxa" w:w="7776"/>
            <w:shd w:fill="F8FAFB"/>
            <w:tcMar>
              <w:top w:w="65" w:type="dxa"/>
              <w:bottom w:w="65" w:type="dxa"/>
              <w:left w:w="65" w:type="dxa"/>
              <w:right w:w="65" w:type="dxa"/>
            </w:tcMar>
          </w:tcPr>
          <w:p>
            <w:pPr>
              <w:spacing w:after="60" w:before="20" w:line="240" w:lineRule="auto"/>
            </w:pPr>
            <w:r>
              <w:rPr>
                <w:b w:val="0"/>
                <w:sz w:val="18"/>
              </w:rPr>
              <w:t>Several feasible budget levels; zero-probe control; money-based adaptation sweep.</w:t>
            </w:r>
          </w:p>
        </w:tc>
      </w:tr>
      <w:tr>
        <w:trPr>
          <w:cantSplit/>
        </w:trPr>
        <w:tc>
          <w:tcPr>
            <w:tcW w:type="dxa" w:w="2448"/>
            <w:shd w:fill="EFF4F6"/>
            <w:tcMar>
              <w:top w:w="65" w:type="dxa"/>
              <w:bottom w:w="65" w:type="dxa"/>
              <w:left w:w="65" w:type="dxa"/>
              <w:right w:w="65" w:type="dxa"/>
            </w:tcMar>
          </w:tcPr>
          <w:p>
            <w:pPr>
              <w:spacing w:after="60" w:before="20" w:line="240" w:lineRule="auto"/>
            </w:pPr>
            <w:r>
              <w:rPr>
                <w:b w:val="0"/>
                <w:sz w:val="18"/>
              </w:rPr>
              <w:t>Information regime</w:t>
            </w:r>
          </w:p>
        </w:tc>
        <w:tc>
          <w:tcPr>
            <w:tcW w:type="dxa" w:w="7776"/>
            <w:shd w:fill="EFF4F6"/>
            <w:tcMar>
              <w:top w:w="65" w:type="dxa"/>
              <w:bottom w:w="65" w:type="dxa"/>
              <w:left w:w="65" w:type="dxa"/>
              <w:right w:w="65" w:type="dxa"/>
            </w:tcMar>
          </w:tcPr>
          <w:p>
            <w:pPr>
              <w:spacing w:after="60" w:before="20" w:line="240" w:lineRule="auto"/>
            </w:pPr>
            <w:r>
              <w:rPr>
                <w:b w:val="0"/>
                <w:sz w:val="18"/>
              </w:rPr>
              <w:t>Queued-batch and future-blind streaming reported separately.</w:t>
            </w:r>
          </w:p>
        </w:tc>
      </w:tr>
      <w:tr>
        <w:trPr>
          <w:cantSplit/>
        </w:trPr>
        <w:tc>
          <w:tcPr>
            <w:tcW w:type="dxa" w:w="2448"/>
            <w:shd w:fill="F8FAFB"/>
            <w:tcMar>
              <w:top w:w="65" w:type="dxa"/>
              <w:bottom w:w="65" w:type="dxa"/>
              <w:left w:w="65" w:type="dxa"/>
              <w:right w:w="65" w:type="dxa"/>
            </w:tcMar>
          </w:tcPr>
          <w:p>
            <w:pPr>
              <w:spacing w:after="60" w:before="20" w:line="240" w:lineRule="auto"/>
            </w:pPr>
            <w:r>
              <w:rPr>
                <w:b w:val="0"/>
                <w:sz w:val="18"/>
              </w:rPr>
              <w:t>Randomness</w:t>
            </w:r>
          </w:p>
        </w:tc>
        <w:tc>
          <w:tcPr>
            <w:tcW w:type="dxa" w:w="7776"/>
            <w:shd w:fill="F8FAFB"/>
            <w:tcMar>
              <w:top w:w="65" w:type="dxa"/>
              <w:bottom w:w="65" w:type="dxa"/>
              <w:left w:w="65" w:type="dxa"/>
              <w:right w:w="65" w:type="dxa"/>
            </w:tcMar>
          </w:tcPr>
          <w:p>
            <w:pPr>
              <w:spacing w:after="60" w:before="20" w:line="240" w:lineRule="auto"/>
            </w:pPr>
            <w:r>
              <w:rPr>
                <w:b w:val="0"/>
                <w:sz w:val="18"/>
              </w:rPr>
              <w:t>Independent workload/generation seeds; repeat subset chosen before inspecting wins.</w:t>
            </w:r>
          </w:p>
        </w:tc>
      </w:tr>
      <w:tr>
        <w:trPr>
          <w:cantSplit/>
        </w:trPr>
        <w:tc>
          <w:tcPr>
            <w:tcW w:type="dxa" w:w="2448"/>
            <w:shd w:fill="EFF4F6"/>
            <w:tcMar>
              <w:top w:w="65" w:type="dxa"/>
              <w:bottom w:w="65" w:type="dxa"/>
              <w:left w:w="65" w:type="dxa"/>
              <w:right w:w="65" w:type="dxa"/>
            </w:tcMar>
          </w:tcPr>
          <w:p>
            <w:pPr>
              <w:spacing w:after="60" w:before="20" w:line="240" w:lineRule="auto"/>
            </w:pPr>
            <w:r>
              <w:rPr>
                <w:b w:val="0"/>
                <w:sz w:val="18"/>
              </w:rPr>
              <w:t>Statistics</w:t>
            </w:r>
          </w:p>
        </w:tc>
        <w:tc>
          <w:tcPr>
            <w:tcW w:type="dxa" w:w="7776"/>
            <w:shd w:fill="EFF4F6"/>
            <w:tcMar>
              <w:top w:w="65" w:type="dxa"/>
              <w:bottom w:w="65" w:type="dxa"/>
              <w:left w:w="65" w:type="dxa"/>
              <w:right w:w="65" w:type="dxa"/>
            </w:tcMar>
          </w:tcPr>
          <w:p>
            <w:pPr>
              <w:spacing w:after="60" w:before="20" w:line="240" w:lineRule="auto"/>
            </w:pPr>
            <w:r>
              <w:rPr>
                <w:b w:val="0"/>
                <w:sz w:val="18"/>
              </w:rPr>
              <w:t>Paired workload-level intervals; query-cluster blocking; held-out final evaluation.</w:t>
            </w:r>
          </w:p>
        </w:tc>
      </w:tr>
      <w:tr>
        <w:trPr>
          <w:cantSplit/>
        </w:trPr>
        <w:tc>
          <w:tcPr>
            <w:tcW w:type="dxa" w:w="2448"/>
            <w:shd w:fill="F8FAFB"/>
            <w:tcMar>
              <w:top w:w="65" w:type="dxa"/>
              <w:bottom w:w="65" w:type="dxa"/>
              <w:left w:w="65" w:type="dxa"/>
              <w:right w:w="65" w:type="dxa"/>
            </w:tcMar>
          </w:tcPr>
          <w:p>
            <w:pPr>
              <w:spacing w:after="60" w:before="20" w:line="240" w:lineRule="auto"/>
            </w:pPr>
            <w:r>
              <w:rPr>
                <w:b w:val="0"/>
                <w:sz w:val="18"/>
              </w:rPr>
              <w:t>Stress tests</w:t>
            </w:r>
          </w:p>
        </w:tc>
        <w:tc>
          <w:tcPr>
            <w:tcW w:type="dxa" w:w="7776"/>
            <w:shd w:fill="F8FAFB"/>
            <w:tcMar>
              <w:top w:w="65" w:type="dxa"/>
              <w:bottom w:w="65" w:type="dxa"/>
              <w:left w:w="65" w:type="dxa"/>
              <w:right w:w="65" w:type="dxa"/>
            </w:tcMar>
          </w:tcPr>
          <w:p>
            <w:pPr>
              <w:spacing w:after="60" w:before="20" w:line="240" w:lineRule="auto"/>
            </w:pPr>
            <w:r>
              <w:rPr>
                <w:b w:val="0"/>
                <w:sz w:val="18"/>
              </w:rPr>
              <w:t>Concurrent admission, unknown billing, duplicate retries, option shift, missing votes.</w:t>
            </w:r>
          </w:p>
        </w:tc>
      </w:tr>
    </w:tbl>
    <w:p>
      <w:pPr>
        <w:spacing w:after="0"/>
      </w:pPr>
    </w:p>
    <w:p>
      <w:r>
        <w:t>Three to five draws can expose instability in a pilot; they do not certify precise per-query success probabilities. Choose replication based on a prospective variance/power analysis. Adaptive probing and stopping require suitable sequential analysis or a separate untouched test set. Do not pick only favorable tasks, seeds, model versions, or probe fractions.</w:t>
      </w:r>
    </w:p>
    <w:p>
      <w:pPr>
        <w:pStyle w:val="Heading2"/>
      </w:pPr>
      <w:r>
        <w:t>Go / simplify / stop</w:t>
      </w:r>
    </w:p>
    <w:p>
      <w:r>
        <w:t>Proceed to a method paper only if Iceberg improves matched-coverage utility/cost over WR-Path+Guard and the strongest simple baseline, the confidence interval excludes a predeclared negligible-effect region, and the gain survives full adaptation accounting. A 10–20% target can guide the project, but is neither a novelty theorem nor a publication requirement.</w:t>
      </w:r>
    </w:p>
    <w:p>
      <w:r>
        <w:t>If only tools explain the gain, publish a tool-routing engineering result only if it contributes meaningful evidence. If the guard is the only contribution, focus on auditable budget enforcement. If active probes fail to beat stratified or WISERouter exploration, simplify rather than add a more complex encoder.</w:t>
      </w:r>
    </w:p>
    <w:p>
      <w:pPr>
        <w:pStyle w:val="Heading2"/>
      </w:pPr>
      <w:r>
        <w:t>Paper scope</w:t>
      </w:r>
    </w:p>
    <w:p>
      <w:r>
        <w:t>Provisional title: “IcebergRouter: Budgeted Experimental Design for Compound Inference Policies.” The paper should identify a concrete probe-selection algorithm and its net value over an equal-option allocator. Graphs and vectors are representations; a hard-budget governor is shared infrastructure. Do not advertise an all-purpose superior router or inherit WISERouter’s regret guarantee.</w:t>
      </w:r>
    </w:p>
    <w:p>
      <w:pPr>
        <w:pStyle w:val="AuditNote"/>
        <w:shd w:fill="EAF2F3"/>
      </w:pPr>
      <w:r>
        <w:t>Treat null results as useful evidence. A reproducible finding that sophisticated routing adds little on specified workloads can warrant a scoped study; do not manufacture several papers by partitioning one incremental experiment. [S7, S13]</w:t>
      </w:r>
    </w:p>
    <w:p>
      <w:r>
        <w:br w:type="page"/>
      </w:r>
    </w:p>
    <w:p>
      <w:pPr>
        <w:pStyle w:val="Heading1"/>
      </w:pPr>
      <w:r>
        <w:t>19. Implementation Order, Deliverables, and References</w:t>
      </w:r>
    </w:p>
    <w:p>
      <w:pPr>
        <w:pStyle w:val="PageSubtitle"/>
      </w:pPr>
      <w:r>
        <w:t>Milestone gates replace the original seven-week commitment</w:t>
      </w:r>
    </w:p>
    <w:tbl>
      <w:tblPr>
        <w:tblW w:type="auto" w:w="0"/>
        <w:tblLayout w:type="fixed"/>
        <w:tblLook w:firstColumn="1" w:firstRow="1" w:lastColumn="0" w:lastRow="0" w:noHBand="0" w:noVBand="1" w:val="04A0"/>
      </w:tblPr>
      <w:tblGrid>
        <w:gridCol w:w="5112"/>
        <w:gridCol w:w="5112"/>
      </w:tblGrid>
      <w:tr>
        <w:trPr>
          <w:cantSplit/>
          <w:tblHeader/>
        </w:trPr>
        <w:tc>
          <w:tcPr>
            <w:tcW w:type="dxa" w:w="2952"/>
            <w:shd w:fill="19324A"/>
            <w:tcMar>
              <w:top w:w="65" w:type="dxa"/>
              <w:bottom w:w="65" w:type="dxa"/>
              <w:left w:w="65" w:type="dxa"/>
              <w:right w:w="65" w:type="dxa"/>
            </w:tcMar>
          </w:tcPr>
          <w:p>
            <w:pPr>
              <w:spacing w:after="60" w:before="20" w:line="240" w:lineRule="auto"/>
            </w:pPr>
            <w:r>
              <w:rPr>
                <w:b/>
                <w:color w:val="FFFFFF"/>
                <w:sz w:val="18"/>
              </w:rPr>
              <w:t>Gate / output</w:t>
            </w:r>
          </w:p>
        </w:tc>
        <w:tc>
          <w:tcPr>
            <w:tcW w:type="dxa" w:w="7272"/>
            <w:shd w:fill="19324A"/>
            <w:tcMar>
              <w:top w:w="65" w:type="dxa"/>
              <w:bottom w:w="65" w:type="dxa"/>
              <w:left w:w="65" w:type="dxa"/>
              <w:right w:w="65" w:type="dxa"/>
            </w:tcMar>
          </w:tcPr>
          <w:p>
            <w:pPr>
              <w:spacing w:after="60" w:before="20" w:line="240" w:lineRule="auto"/>
            </w:pPr>
            <w:r>
              <w:rPr>
                <w:b/>
                <w:color w:val="FFFFFF"/>
                <w:sz w:val="18"/>
              </w:rPr>
              <w:t>Evidence required before the next stage</w:t>
            </w:r>
          </w:p>
        </w:tc>
      </w:tr>
      <w:tr>
        <w:trPr>
          <w:cantSplit/>
        </w:trPr>
        <w:tc>
          <w:tcPr>
            <w:tcW w:type="dxa" w:w="2952"/>
            <w:shd w:fill="EFF4F6"/>
            <w:tcMar>
              <w:top w:w="65" w:type="dxa"/>
              <w:bottom w:w="65" w:type="dxa"/>
              <w:left w:w="65" w:type="dxa"/>
              <w:right w:w="65" w:type="dxa"/>
            </w:tcMar>
          </w:tcPr>
          <w:p>
            <w:pPr>
              <w:spacing w:after="60" w:before="20" w:line="240" w:lineRule="auto"/>
            </w:pPr>
            <w:r>
              <w:rPr>
                <w:b w:val="0"/>
                <w:sz w:val="18"/>
              </w:rPr>
              <w:t>G0 — Protocol and fixtures</w:t>
            </w:r>
          </w:p>
        </w:tc>
        <w:tc>
          <w:tcPr>
            <w:tcW w:type="dxa" w:w="7272"/>
            <w:shd w:fill="EFF4F6"/>
            <w:tcMar>
              <w:top w:w="65" w:type="dxa"/>
              <w:bottom w:w="65" w:type="dxa"/>
              <w:left w:w="65" w:type="dxa"/>
              <w:right w:w="65" w:type="dxa"/>
            </w:tcMar>
          </w:tcPr>
          <w:p>
            <w:pPr>
              <w:spacing w:after="60" w:before="20" w:line="240" w:lineRule="auto"/>
            </w:pPr>
            <w:r>
              <w:rPr>
                <w:b w:val="0"/>
                <w:sz w:val="18"/>
              </w:rPr>
              <w:t>Exact money, bounded actions, safe termination, crash/concurrency tests; public artifact, not automatically a paper.</w:t>
            </w:r>
          </w:p>
        </w:tc>
      </w:tr>
      <w:tr>
        <w:trPr>
          <w:cantSplit/>
        </w:trPr>
        <w:tc>
          <w:tcPr>
            <w:tcW w:type="dxa" w:w="2952"/>
            <w:shd w:fill="F8FAFB"/>
            <w:tcMar>
              <w:top w:w="65" w:type="dxa"/>
              <w:bottom w:w="65" w:type="dxa"/>
              <w:left w:w="65" w:type="dxa"/>
              <w:right w:w="65" w:type="dxa"/>
            </w:tcMar>
          </w:tcPr>
          <w:p>
            <w:pPr>
              <w:spacing w:after="60" w:before="20" w:line="240" w:lineRule="auto"/>
            </w:pPr>
            <w:r>
              <w:rPr>
                <w:b w:val="0"/>
                <w:sz w:val="18"/>
              </w:rPr>
              <w:t>G1 — Baseline reproduction</w:t>
            </w:r>
          </w:p>
        </w:tc>
        <w:tc>
          <w:tcPr>
            <w:tcW w:type="dxa" w:w="7272"/>
            <w:shd w:fill="F8FAFB"/>
            <w:tcMar>
              <w:top w:w="65" w:type="dxa"/>
              <w:bottom w:w="65" w:type="dxa"/>
              <w:left w:w="65" w:type="dxa"/>
              <w:right w:w="65" w:type="dxa"/>
            </w:tcMar>
          </w:tcPr>
          <w:p>
            <w:pPr>
              <w:spacing w:after="60" w:before="20" w:line="240" w:lineRule="auto"/>
            </w:pPr>
            <w:r>
              <w:rPr>
                <w:b w:val="0"/>
                <w:sz w:val="18"/>
              </w:rPr>
              <w:t>WR/WR+Guard and strong simple baselines on frozen data; publish an audit only for substantive reproducibility findings.</w:t>
            </w:r>
          </w:p>
        </w:tc>
      </w:tr>
      <w:tr>
        <w:trPr>
          <w:cantSplit/>
        </w:trPr>
        <w:tc>
          <w:tcPr>
            <w:tcW w:type="dxa" w:w="2952"/>
            <w:shd w:fill="EFF4F6"/>
            <w:tcMar>
              <w:top w:w="65" w:type="dxa"/>
              <w:bottom w:w="65" w:type="dxa"/>
              <w:left w:w="65" w:type="dxa"/>
              <w:right w:w="65" w:type="dxa"/>
            </w:tcMar>
          </w:tcPr>
          <w:p>
            <w:pPr>
              <w:spacing w:after="60" w:before="20" w:line="240" w:lineRule="auto"/>
            </w:pPr>
            <w:r>
              <w:rPr>
                <w:b w:val="0"/>
                <w:sz w:val="18"/>
              </w:rPr>
              <w:t>G2 — Main method study</w:t>
            </w:r>
          </w:p>
        </w:tc>
        <w:tc>
          <w:tcPr>
            <w:tcW w:type="dxa" w:w="7272"/>
            <w:shd w:fill="EFF4F6"/>
            <w:tcMar>
              <w:top w:w="65" w:type="dxa"/>
              <w:bottom w:w="65" w:type="dxa"/>
              <w:left w:w="65" w:type="dxa"/>
              <w:right w:w="65" w:type="dxa"/>
            </w:tcMar>
          </w:tcPr>
          <w:p>
            <w:pPr>
              <w:spacing w:after="60" w:before="20" w:line="240" w:lineRule="auto"/>
            </w:pPr>
            <w:r>
              <w:rPr>
                <w:b w:val="0"/>
                <w:sz w:val="18"/>
              </w:rPr>
              <w:t>Real compound traces; WR-Path parity; adaptation pays for itself; one coherent method preprint supported by held-out results.</w:t>
            </w:r>
          </w:p>
        </w:tc>
      </w:tr>
      <w:tr>
        <w:trPr>
          <w:cantSplit/>
        </w:trPr>
        <w:tc>
          <w:tcPr>
            <w:tcW w:type="dxa" w:w="2952"/>
            <w:shd w:fill="F8FAFB"/>
            <w:tcMar>
              <w:top w:w="65" w:type="dxa"/>
              <w:bottom w:w="65" w:type="dxa"/>
              <w:left w:w="65" w:type="dxa"/>
              <w:right w:w="65" w:type="dxa"/>
            </w:tcMar>
          </w:tcPr>
          <w:p>
            <w:pPr>
              <w:spacing w:after="60" w:before="20" w:line="240" w:lineRule="auto"/>
            </w:pPr>
            <w:r>
              <w:rPr>
                <w:b w:val="0"/>
                <w:sz w:val="18"/>
              </w:rPr>
              <w:t>G3 — Feedback adaptation</w:t>
            </w:r>
          </w:p>
        </w:tc>
        <w:tc>
          <w:tcPr>
            <w:tcW w:type="dxa" w:w="7272"/>
            <w:shd w:fill="F8FAFB"/>
            <w:tcMar>
              <w:top w:w="65" w:type="dxa"/>
              <w:bottom w:w="65" w:type="dxa"/>
              <w:left w:w="65" w:type="dxa"/>
              <w:right w:w="65" w:type="dxa"/>
            </w:tcMar>
          </w:tcPr>
          <w:p>
            <w:pPr>
              <w:spacing w:after="60" w:before="20" w:line="240" w:lineRule="auto"/>
            </w:pPr>
            <w:r>
              <w:rPr>
                <w:b w:val="0"/>
                <w:sz w:val="18"/>
              </w:rPr>
              <w:t>Real longitudinal feedback and missingness analysis; a distinct question about strategy recovery, not simulated satisfaction claims.</w:t>
            </w:r>
          </w:p>
        </w:tc>
      </w:tr>
      <w:tr>
        <w:trPr>
          <w:cantSplit/>
        </w:trPr>
        <w:tc>
          <w:tcPr>
            <w:tcW w:type="dxa" w:w="2952"/>
            <w:shd w:fill="EFF4F6"/>
            <w:tcMar>
              <w:top w:w="65" w:type="dxa"/>
              <w:bottom w:w="65" w:type="dxa"/>
              <w:left w:w="65" w:type="dxa"/>
              <w:right w:w="65" w:type="dxa"/>
            </w:tcMar>
          </w:tcPr>
          <w:p>
            <w:pPr>
              <w:spacing w:after="60" w:before="20" w:line="240" w:lineRule="auto"/>
            </w:pPr>
            <w:r>
              <w:rPr>
                <w:b w:val="0"/>
                <w:sz w:val="18"/>
              </w:rPr>
              <w:t>G4 — Composition / portability</w:t>
            </w:r>
          </w:p>
        </w:tc>
        <w:tc>
          <w:tcPr>
            <w:tcW w:type="dxa" w:w="7272"/>
            <w:shd w:fill="EFF4F6"/>
            <w:tcMar>
              <w:top w:w="65" w:type="dxa"/>
              <w:bottom w:w="65" w:type="dxa"/>
              <w:left w:w="65" w:type="dxa"/>
              <w:right w:w="65" w:type="dxa"/>
            </w:tcMar>
          </w:tcPr>
          <w:p>
            <w:pPr>
              <w:spacing w:after="60" w:before="20" w:line="240" w:lineRule="auto"/>
            </w:pPr>
            <w:r>
              <w:rPr>
                <w:b w:val="0"/>
                <w:sz w:val="18"/>
              </w:rPr>
              <w:t>Changing nested policies, shared subbudgets, load tests, Java/TS conformance; systems study only when evidence warrants it.</w:t>
            </w:r>
          </w:p>
        </w:tc>
      </w:tr>
    </w:tbl>
    <w:p>
      <w:pPr>
        <w:spacing w:after="0"/>
      </w:pPr>
    </w:p>
    <w:p>
      <w:r>
        <w:t>Release software at each gate; publication is conditional. Revise one preprint when later results strengthen the same contribution. Split a follow-up only when its scientific question, evidence, and limitations are genuinely distinct. arXiv availability is not peer-review acceptance.</w:t>
      </w:r>
    </w:p>
    <w:p>
      <w:pPr>
        <w:pStyle w:val="Heading2"/>
      </w:pPr>
      <w:r>
        <w:t>Primary source locators</w:t>
      </w:r>
    </w:p>
    <w:p>
      <w:r>
        <w:t>[S1] WISERouter — arxiv.org/abs/2607.23765.  [S2] Unified Routing and Cascading — proceedings.mlr.press/v267/dekoninck25a.html.  [S3] PILOT — arxiv.org/abs/2508.21141.  [S4] R2-Router — arxiv.org/abs/2602.02823.  [S5] DART, v3 — arxiv.org/abs/2606.23181.  [S6] GraphPlanner — arxiv.org/abs/2604.23626.</w:t>
      </w:r>
    </w:p>
    <w:p>
      <w:r>
        <w:t>[S7] github.com/ynulihao/LLMRouterBench.  [S8] LLMRouter — arxiv.org/abs/2608.06867.  [S9] github.com/vllm-project/semantic-router.  [S10] docs.litellm.ai/docs/proxy/users.  [S11] github.com/Arize-ai/phoenix.</w:t>
      </w:r>
    </w:p>
    <w:p>
      <w:r>
        <w:t>[S12] Routing gap / single-draw noise — arxiv.org/abs/2607.03436.  [S13] Common-interface routing evaluation — arxiv.org/abs/2608.14641.  [S14] SeqRoute — arxiv.org/abs/2605.25424.  [S15] github.com/lm-sys/RouteLLM.</w:t>
      </w:r>
    </w:p>
    <w:p>
      <w:pPr>
        <w:pStyle w:val="AuditNote"/>
        <w:shd w:fill="EAF2F3"/>
      </w:pPr>
      <w:r>
        <w:t>Current recommendation: authorize G0 and G1. Start G2 only after baseline parity and honest billing are demonstrated. This audit found specification defects; it has not yet established an Iceberg performance advantage.</w:t>
      </w:r>
    </w:p>
    <w:sectPr w:rsidR="00FC693F" w:rsidRPr="0006063C" w:rsidSect="00034616">
      <w:headerReference w:type="default" r:id="rId9"/>
      <w:footerReference w:type="default" r:id="rId10"/>
      <w:pgSz w:w="12240" w:h="15840"/>
      <w:pgMar w:top="893" w:right="1008" w:bottom="835" w:left="1008" w:header="38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717F"/>
        <w:sz w:val="16"/>
      </w:rPr>
      <w:t xml:space="preserve">Implementation-first • 15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8717F"/>
        <w:sz w:val="16"/>
      </w:rPr>
      <w:t>BIGGRAPH AI  /  ICEBERGROUTER                                       AUDIT REVISION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9324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C596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Calibri" w:hAnsi="Calibri"/>
      <w:color w:val="19324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7"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line="240" w:lineRule="auto"/>
      <w:ind w:left="173" w:right="115"/>
    </w:pPr>
    <w:rPr>
      <w:rFonts w:ascii="Liberation Mono" w:hAnsi="Liberation Mono"/>
      <w:sz w:val="16"/>
    </w:rPr>
  </w:style>
  <w:style w:type="paragraph" w:customStyle="1" w:styleId="AuditNote">
    <w:name w:val="Audit Note"/>
    <w:pPr>
      <w:spacing w:before="80"/>
    </w:pPr>
    <w:rPr>
      <w:rFonts w:ascii="Calibri" w:hAnsi="Calibri"/>
      <w:color w:val="365A69"/>
      <w:sz w:val="18"/>
    </w:rPr>
  </w:style>
  <w:style w:type="paragraph" w:customStyle="1" w:styleId="PageSubtitle">
    <w:name w:val="Page Subtitle"/>
    <w:pPr>
      <w:spacing w:after="200"/>
    </w:pPr>
    <w:rPr>
      <w:rFonts w:ascii="Calibri" w:hAnsi="Calibri"/>
      <w:color w:val="65778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IcebergRouter Implementation Blueprint — Audited Revision 2</dc:title>
  <dc:subject>Technical corrections, current routing baselines, and evidence-gated publication plan</dc:subject>
  <dc:creator>BigGraph AI</dc:creator>
  <cp:keywords>IcebergRouter, WISERouter, budget, inference, evaluation, Python, Java, TypeScript</cp:keywords>
  <dc:description>generated by python-docx</dc:description>
  <cp:lastModifiedBy/>
  <cp:revision>1</cp:revision>
  <dcterms:created xsi:type="dcterms:W3CDTF">2013-12-23T23:15:00Z</dcterms:created>
  <dcterms:modified xsi:type="dcterms:W3CDTF">2013-12-23T23:15:00Z</dcterms:modified>
  <cp:category/>
</cp:coreProperties>
</file>