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A2840"/>
          <w:sz w:val="36"/>
          <w:szCs w:val="36"/>
        </w:rPr>
        <w:t xml:space="preserve">Foundersblock Accelerator</w:t>
      </w:r>
    </w:p>
    <w:p>
      <w:pPr>
        <w:spacing w:after="200"/>
      </w:pPr>
      <w:r>
        <w:rPr>
          <w:rFonts w:ascii="Arial" w:cs="Arial" w:eastAsia="Arial" w:hAnsi="Arial"/>
          <w:color w:val="6F7C86"/>
          <w:sz w:val="22"/>
          <w:szCs w:val="22"/>
        </w:rPr>
        <w:t xml:space="preserve">Zusammenfassung Erstgespräch &amp; Entscheidungshilfe für Simone</w:t>
      </w:r>
    </w:p>
    <w:p>
      <w:pPr>
        <w:pBdr>
          <w:bottom w:val="single" w:color="009DD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0A2840"/>
          <w:sz w:val="24"/>
          <w:szCs w:val="24"/>
        </w:rPr>
        <w:t xml:space="preserve">Quick Facts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E6EAEE" w:sz="1"/>
              <w:left w:val="single" w:color="E6EAEE" w:sz="1"/>
              <w:bottom w:val="single" w:color="E6EAEE" w:sz="1"/>
              <w:right w:val="single" w:color="E6EAEE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840"/>
                <w:sz w:val="20"/>
                <w:szCs w:val="20"/>
              </w:rPr>
              <w:t xml:space="preserve">Call-Datum</w:t>
            </w:r>
          </w:p>
        </w:tc>
        <w:tc>
          <w:tcPr>
            <w:tcW w:type="dxa" w:w="6706"/>
            <w:tcBorders>
              <w:top w:val="single" w:color="E6EAEE" w:sz="1"/>
              <w:left w:val="single" w:color="E6EAEE" w:sz="1"/>
              <w:bottom w:val="single" w:color="E6EAEE" w:sz="1"/>
              <w:right w:val="single" w:color="E6EAEE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25. März 2026, ca. 80 Min.</w:t>
            </w:r>
          </w:p>
        </w:tc>
      </w:tr>
      <w:tr>
        <w:tc>
          <w:tcPr>
            <w:tcW w:type="dxa" w:w="2800"/>
            <w:tcBorders>
              <w:top w:val="single" w:color="E6EAEE" w:sz="1"/>
              <w:left w:val="single" w:color="E6EAEE" w:sz="1"/>
              <w:bottom w:val="single" w:color="E6EAEE" w:sz="1"/>
              <w:right w:val="single" w:color="E6E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840"/>
                <w:sz w:val="20"/>
                <w:szCs w:val="20"/>
              </w:rPr>
              <w:t xml:space="preserve">Teilnehmer</w:t>
            </w:r>
          </w:p>
        </w:tc>
        <w:tc>
          <w:tcPr>
            <w:tcW w:type="dxa" w:w="6706"/>
            <w:tcBorders>
              <w:top w:val="single" w:color="E6EAEE" w:sz="1"/>
              <w:left w:val="single" w:color="E6EAEE" w:sz="1"/>
              <w:bottom w:val="single" w:color="E6EAEE" w:sz="1"/>
              <w:right w:val="single" w:color="E6E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Knopp (Robofolio) &amp; Maximilian Zimmer (Foundersblock)</w:t>
            </w:r>
          </w:p>
        </w:tc>
      </w:tr>
      <w:tr>
        <w:tc>
          <w:tcPr>
            <w:tcW w:type="dxa" w:w="2800"/>
            <w:tcBorders>
              <w:top w:val="single" w:color="E6EAEE" w:sz="1"/>
              <w:left w:val="single" w:color="E6EAEE" w:sz="1"/>
              <w:bottom w:val="single" w:color="E6EAEE" w:sz="1"/>
              <w:right w:val="single" w:color="E6EAEE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840"/>
                <w:sz w:val="20"/>
                <w:szCs w:val="20"/>
              </w:rPr>
              <w:t xml:space="preserve">Format</w:t>
            </w:r>
          </w:p>
        </w:tc>
        <w:tc>
          <w:tcPr>
            <w:tcW w:type="dxa" w:w="6706"/>
            <w:tcBorders>
              <w:top w:val="single" w:color="E6EAEE" w:sz="1"/>
              <w:left w:val="single" w:color="E6EAEE" w:sz="1"/>
              <w:bottom w:val="single" w:color="E6EAEE" w:sz="1"/>
              <w:right w:val="single" w:color="E6EAEE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Meet mit Screen-Sharing (FigJam Board)</w:t>
            </w:r>
          </w:p>
        </w:tc>
      </w:tr>
      <w:tr>
        <w:tc>
          <w:tcPr>
            <w:tcW w:type="dxa" w:w="2800"/>
            <w:tcBorders>
              <w:top w:val="single" w:color="E6EAEE" w:sz="1"/>
              <w:left w:val="single" w:color="E6EAEE" w:sz="1"/>
              <w:bottom w:val="single" w:color="E6EAEE" w:sz="1"/>
              <w:right w:val="single" w:color="E6E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840"/>
                <w:sz w:val="20"/>
                <w:szCs w:val="20"/>
              </w:rPr>
              <w:t xml:space="preserve">Programm-Typ</w:t>
            </w:r>
          </w:p>
        </w:tc>
        <w:tc>
          <w:tcPr>
            <w:tcW w:type="dxa" w:w="6706"/>
            <w:tcBorders>
              <w:top w:val="single" w:color="E6EAEE" w:sz="1"/>
              <w:left w:val="single" w:color="E6EAEE" w:sz="1"/>
              <w:bottom w:val="single" w:color="E6EAEE" w:sz="1"/>
              <w:right w:val="single" w:color="E6E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 Accelerator / Company Builder (4 Monate)</w:t>
            </w:r>
          </w:p>
        </w:tc>
      </w:tr>
      <w:tr>
        <w:tc>
          <w:tcPr>
            <w:tcW w:type="dxa" w:w="2800"/>
            <w:tcBorders>
              <w:top w:val="single" w:color="E6EAEE" w:sz="1"/>
              <w:left w:val="single" w:color="E6EAEE" w:sz="1"/>
              <w:bottom w:val="single" w:color="E6EAEE" w:sz="1"/>
              <w:right w:val="single" w:color="E6EAEE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840"/>
                <w:sz w:val="20"/>
                <w:szCs w:val="20"/>
              </w:rPr>
              <w:t xml:space="preserve">Phasen</w:t>
            </w:r>
          </w:p>
        </w:tc>
        <w:tc>
          <w:tcPr>
            <w:tcW w:type="dxa" w:w="6706"/>
            <w:tcBorders>
              <w:top w:val="single" w:color="E6EAEE" w:sz="1"/>
              <w:left w:val="single" w:color="E6EAEE" w:sz="1"/>
              <w:bottom w:val="single" w:color="E6EAEE" w:sz="1"/>
              <w:right w:val="single" w:color="E6EAEE" w:sz="1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Ideation → Pilot → Product (3-Phasen-Modell)</w:t>
            </w:r>
          </w:p>
        </w:tc>
      </w:tr>
      <w:tr>
        <w:tc>
          <w:tcPr>
            <w:tcW w:type="dxa" w:w="2800"/>
            <w:tcBorders>
              <w:top w:val="single" w:color="E6EAEE" w:sz="1"/>
              <w:left w:val="single" w:color="E6EAEE" w:sz="1"/>
              <w:bottom w:val="single" w:color="E6EAEE" w:sz="1"/>
              <w:right w:val="single" w:color="E6E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840"/>
                <w:sz w:val="20"/>
                <w:szCs w:val="20"/>
              </w:rPr>
              <w:t xml:space="preserve">Ziel-KPI</w:t>
            </w:r>
          </w:p>
        </w:tc>
        <w:tc>
          <w:tcPr>
            <w:tcW w:type="dxa" w:w="6706"/>
            <w:tcBorders>
              <w:top w:val="single" w:color="E6EAEE" w:sz="1"/>
              <w:left w:val="single" w:color="E6EAEE" w:sz="1"/>
              <w:bottom w:val="single" w:color="E6EAEE" w:sz="1"/>
              <w:right w:val="single" w:color="E6E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PMF 0.1 bei 33.000 € MRR, dann 5-stelliger Cashflow</w:t>
            </w:r>
          </w:p>
        </w:tc>
      </w:tr>
    </w:tbl>
    <w:p>
      <w:pPr>
        <w:pBdr>
          <w:bottom w:val="single" w:color="009DD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0A2840"/>
          <w:sz w:val="24"/>
          <w:szCs w:val="24"/>
        </w:rPr>
        <w:t xml:space="preserve">Was bietet Foundersblock?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Foundersblock ist ein Accelerator der in einem strukturierten 4-Monats-Programm Startups von der Idee bis zum Product-Market-Fit begleitet. Im Call hat Maximilian Zimmer das Programm anhand eines detaillierten FigJam-Boards vorgestellt: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Pilot-Phase (Thesenphase): ICP Niching, Revenue Model validieren, AI Research mit Scraping Bots, Interviewprozesse aufsetzen &amp; durchführen, Zielgruppenverständnis maximieren, Zahlungsbereitschaft per 3D-Framework abfragen, Grand-Slam-Offer (GSO) bauen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Product-Phase: Produkt mit Alleinstellungsmerkmal bauen, Go-to-Revenue Strategie, Outreach/Akquise, Insights analysieren, Deployment, Ziel: 10+ B2B-Kunden mit positivem Cashflow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Wachstums-Phase: 5-stelliger monatlicher Cashflow, Distributionspivot zwischen SLG (Sales-Led Growth) und MLG (Marketing-Led Growth), skalierbare Marketing-Engine &amp; Funnel-Logik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4-P-Framework: Problem → Promise → Product-Struktur für Go-to-Market</w:t>
      </w:r>
    </w:p>
    <w:p>
      <w:pPr>
        <w:pBdr>
          <w:bottom w:val="single" w:color="009DD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0A2840"/>
          <w:sz w:val="24"/>
          <w:szCs w:val="24"/>
        </w:rPr>
        <w:t xml:space="preserve">Relevanz für Robofolio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Im Call wurden konkrete Schwächen bei Robofolio identifiziert, die der Accelerator adressieren könnte: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"MarketVisibility" — Robofolio ist bei der Zielgruppe noch nicht sichtbar genug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"Leadgen lacking" — Leadgenerierung ist noch nicht systematisch aufgebaut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Distributionsplan noch unklar (Network/Sales vs. Content/SM vs. Paid Ads)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Kommissionsmodell wurde gemeinsam durchgerechnet: bei 3,75% Kommission und ~173k€ Deal Size ergibt sich ca. 6.500€ pro Deal</w:t>
      </w:r>
    </w:p>
    <w:p>
      <w:pPr>
        <w:pBdr>
          <w:bottom w:val="single" w:color="009DD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0A2840"/>
          <w:sz w:val="24"/>
          <w:szCs w:val="24"/>
        </w:rPr>
        <w:t xml:space="preserve">Founder’s Pledge (Bedingungen)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Bei Teilnahme müssen wir folgende Bedingungen erfüllen: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Commitment: 4 Monate Laufzeit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Mitarbeit: 10h/Woche (davon mind. 5h Mo–Fr 9–18:30 Uhr)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Pivot Ready bleiben für die ersten 8 Wochen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Wöchentlicher End-of-Week Report + 1:1 Jour Fix mit Founding Partner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Deren Materialien &amp; Tools nutzen (eigene nur nach Screening/Absprache)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Deren Maßnahmen und Guidelines umsetzen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Outreach: Mind. 100 Interaktionen/Woche (LinkedIn, E-Mail, Calls, WhatsApp, SMS etc.)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Keine Produktänderungen ohne Absprache mit deren Devs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Mind. 1 Ansprechpartner der Exekutiv-Entscheidungen treffen kann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Vereinbartes Werbebudget muss eingesetzt werden</w:t>
      </w:r>
    </w:p>
    <w:p>
      <w:pPr>
        <w:pBdr>
          <w:bottom w:val="single" w:color="009DD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0A2840"/>
          <w:sz w:val="24"/>
          <w:szCs w:val="24"/>
        </w:rPr>
        <w:t xml:space="preserve">Entscheidungshilfe: Sollen wir mit Foundersblock bauen?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E6EAEE" w:sz="1"/>
              <w:left w:val="single" w:color="E6EAEE" w:sz="1"/>
              <w:bottom w:val="single" w:color="E6EAEE" w:sz="1"/>
              <w:right w:val="single" w:color="E6EAE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94"/>
                <w:sz w:val="22"/>
                <w:szCs w:val="22"/>
              </w:rPr>
              <w:t xml:space="preserve">PRO</w:t>
            </w:r>
          </w:p>
        </w:tc>
        <w:tc>
          <w:tcPr>
            <w:tcW w:type="dxa" w:w="4753"/>
            <w:tcBorders>
              <w:top w:val="single" w:color="E6EAEE" w:sz="1"/>
              <w:left w:val="single" w:color="E6EAEE" w:sz="1"/>
              <w:bottom w:val="single" w:color="E6EAEE" w:sz="1"/>
              <w:right w:val="single" w:color="E6EAEE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3031"/>
                <w:sz w:val="22"/>
                <w:szCs w:val="22"/>
              </w:rPr>
              <w:t xml:space="preserve">CONTRA</w:t>
            </w:r>
          </w:p>
        </w:tc>
      </w:tr>
      <w:tr>
        <w:tc>
          <w:tcPr>
            <w:tcW w:type="dxa" w:w="4753"/>
            <w:tcBorders>
              <w:top w:val="single" w:color="E6EAEE" w:sz="1"/>
              <w:left w:val="single" w:color="E6EAEE" w:sz="1"/>
              <w:bottom w:val="single" w:color="E6EAEE" w:sz="1"/>
              <w:right w:val="single" w:color="E6EA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B894"/>
                <w:sz w:val="20"/>
                <w:szCs w:val="20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Strukturierter Prozess von ICP bis PMF — spart Umwege und Fehler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B894"/>
                <w:sz w:val="20"/>
                <w:szCs w:val="20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100 Interaktionen/Woche erzwingt Vertriebsdisziplin, die uns fehlt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B894"/>
                <w:sz w:val="20"/>
                <w:szCs w:val="20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Externer Blick auf Revenue Model &amp; Pricing (3,75% Kommission wurde im Call validiert)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B894"/>
                <w:sz w:val="20"/>
                <w:szCs w:val="20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Zugang zu Scraping Bots, AI Research Tools und erprobten Frameworks (3D, GSO)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B894"/>
                <w:sz w:val="20"/>
                <w:szCs w:val="20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Wöchentliches 1:1 Coaching mit erfahrenem Founding Partner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B894"/>
                <w:sz w:val="20"/>
                <w:szCs w:val="20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Klares Ziel: 33k€ MRR als PMF-Milestone gibt Fokus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B894"/>
                <w:sz w:val="20"/>
                <w:szCs w:val="20"/>
              </w:rPr>
              <w:t xml:space="preserve">+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Netzwerk &amp; Community anderer B2B-Startups</w:t>
            </w:r>
          </w:p>
        </w:tc>
        <w:tc>
          <w:tcPr>
            <w:tcW w:type="dxa" w:w="4753"/>
            <w:tcBorders>
              <w:top w:val="single" w:color="E6EAEE" w:sz="1"/>
              <w:left w:val="single" w:color="E6EAEE" w:sz="1"/>
              <w:bottom w:val="single" w:color="E6EAEE" w:sz="1"/>
              <w:right w:val="single" w:color="E6EA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63031"/>
                <w:sz w:val="20"/>
                <w:szCs w:val="20"/>
              </w:rPr>
              <w:t xml:space="preserve">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10h/Woche Zeitaufwand neben laufendem Aufbau (Max + Simone)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63031"/>
                <w:sz w:val="20"/>
                <w:szCs w:val="20"/>
              </w:rPr>
              <w:t xml:space="preserve">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4 Monate Commitment — Pivot-Zwang in den ersten 8 Wochen könnte unsere Roadmap durcheinanderbringen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63031"/>
                <w:sz w:val="20"/>
                <w:szCs w:val="20"/>
              </w:rPr>
              <w:t xml:space="preserve">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Keine Produktänderungen ohne Absprache mit deren Devs — Kontrollverlust über unsere Technik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63031"/>
                <w:sz w:val="20"/>
                <w:szCs w:val="20"/>
              </w:rPr>
              <w:t xml:space="preserve">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Eigene Tools nur nach Screening erlaubt — Einschränkung unserer Arbeitsweise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63031"/>
                <w:sz w:val="20"/>
                <w:szCs w:val="20"/>
              </w:rPr>
              <w:t xml:space="preserve">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Werbebudget muss eingesetzt werden — zusätzliche Kosten in der Frühphase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63031"/>
                <w:sz w:val="20"/>
                <w:szCs w:val="20"/>
              </w:rPr>
              <w:t xml:space="preserve">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Programm ist generisch (B2B SaaS-fokussiert) — Marketplace/Robotik-Spezifika evtl. nicht abgedeckt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63031"/>
                <w:sz w:val="20"/>
                <w:szCs w:val="20"/>
              </w:rPr>
              <w:t xml:space="preserve">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Unbekannter Accelerator (online kaum auffindbar) — Netzwerkeffekt unklar</w:t>
            </w:r>
          </w:p>
        </w:tc>
      </w:tr>
    </w:tbl>
    <w:p>
      <w:pPr>
        <w:pBdr>
          <w:bottom w:val="single" w:color="009DD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0A2840"/>
          <w:sz w:val="24"/>
          <w:szCs w:val="24"/>
        </w:rPr>
        <w:t xml:space="preserve">Fazit &amp; offene Fragen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Das Programm bietet einen klaren, strukturierten Weg zum Product-Market-Fit mit starkem Fokus auf Vertriebsdisziplin und Kundenvalidierung. Für Robofolio wäre das besonders wertvoll, weil uns aktuell genau die systematische Leadgenerierung und Marktsichtbarkeit fehlt.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Allerdings müssen wir folgende Punkte klären, bevor wir zusagen: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Was kostet das Programm? (Gebühren, Equity-Anteil, Revenue Share?)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Wie flexibel ist der Pivot-Zwang bei einem bereits gebauten MVP?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Können wir unsere eigene Tech-Infrastruktur (Claude AI, Flask API) behalten oder müssen wir auf deren Stack wechseln?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Wie sieht das Netzwerk konkret aus — welche Startups/Alumni gibt es?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Ist das 10h/Woche-Commitment realistisch neben unserer operativen Arbeit?</w:t>
      </w:r>
    </w:p>
    <w:p>
      <w:pPr>
        <w:spacing w:before="200"/>
      </w:pPr>
    </w:p>
    <w:p>
      <w:pPr>
        <w:shd w:fill="F5F7F9" w:val="clear"/>
        <w:spacing w:before="100"/>
      </w:pPr>
      <w:r>
        <w:rPr>
          <w:rFonts w:ascii="Arial" w:cs="Arial" w:eastAsia="Arial" w:hAnsi="Arial"/>
          <w:b/>
          <w:bCs/>
          <w:color w:val="0A2840"/>
          <w:sz w:val="20"/>
          <w:szCs w:val="20"/>
        </w:rPr>
        <w:t xml:space="preserve">Nächster Schritt: </w:t>
      </w:r>
      <w:r>
        <w:rPr>
          <w:rFonts w:ascii="Arial" w:cs="Arial" w:eastAsia="Arial" w:hAnsi="Arial"/>
          <w:sz w:val="20"/>
          <w:szCs w:val="20"/>
        </w:rPr>
        <w:t xml:space="preserve">Simone &amp; Max besprechen Pros/Cons und definieren offene Fragen für ein mögliches Zweitgespräch mit Foundersblock.</w:t>
      </w:r>
    </w:p>
    <w:sectPr>
      <w:headerReference w:type="default" r:id="rId7"/>
      <w:footerReference w:type="default" r:id="rId8"/>
      <w:pgSz w:w="11906" w:h="16838" w:orient="portrait"/>
      <w:pgMar w:top="12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Vertraulich | Robofolio GbR | </w:t>
    </w:r>
    <w:r>
      <w:rPr>
        <w:rFonts w:ascii="Arial" w:cs="Arial" w:eastAsia="Arial" w:hAnsi="Arial"/>
        <w:color w:val="999999"/>
        <w:sz w:val="16"/>
        <w:szCs w:val="16"/>
      </w:rPr>
      <w:t xml:space="preserve">25. März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9DDB" w:sz="4" w:space="6"/>
      </w:pBdr>
      <w:tabs>
        <w:tab w:val="right" w:pos="9026"/>
      </w:tabs>
      <w:spacing w:after="100"/>
    </w:pPr>
    <w:r>
      <w:rPr>
        <w:rFonts w:ascii="Arial" w:cs="Arial" w:eastAsia="Arial" w:hAnsi="Arial"/>
        <w:b/>
        <w:bCs/>
        <w:color w:val="0A2840"/>
        <w:sz w:val="22"/>
        <w:szCs w:val="22"/>
      </w:rPr>
      <w:t xml:space="preserve">ROBOFOLIO</w:t>
    </w:r>
    <w:r>
      <w:rPr>
        <w:rFonts w:ascii="Arial" w:cs="Arial" w:eastAsia="Arial" w:hAnsi="Arial"/>
        <w:color w:val="6F7C86"/>
        <w:sz w:val="20"/>
        <w:szCs w:val="20"/>
      </w:rPr>
      <w:t xml:space="preserve">  |  Entscheidungsvorlage Accelerator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+"/>
      <w:lvlJc w:val="left"/>
      <w:pPr>
        <w:ind w:left="42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2026-03-26T08:41:51.691Z</dcterms:created>
  <dcterms:modified xsi:type="dcterms:W3CDTF">2026-03-26T08:41:51.691Z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