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Welcome to BMH Group</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video-slot-01-welcome</w:t>
      </w:r>
    </w:p>
    <w:p>
      <w:pPr>
        <w:spacing w:after="60"/>
      </w:pPr>
      <w:r>
        <w:rPr>
          <w:rFonts w:ascii="Calibri" w:hAnsi="Calibri"/>
          <w:b/>
        </w:rPr>
        <w:t xml:space="preserve">Held-source SHA-256: </w:t>
      </w:r>
      <w:r>
        <w:rPr>
          <w:rFonts w:ascii="Calibri" w:hAnsi="Calibri"/>
        </w:rPr>
        <w:t>493de8a5e0663ad577ba46d6d5befce33e9640f250677095094978714d22ac72</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pStyle w:val="Heading1"/>
      </w:pPr>
      <w:r>
        <w:t>Lesson contract</w:t>
      </w:r>
    </w:p>
    <w:p>
      <w:r>
        <w:rPr>
          <w:rFonts w:ascii="Calibri" w:hAnsi="Calibri"/>
          <w:b/>
        </w:rPr>
        <w:t xml:space="preserve">Objective: </w:t>
      </w:r>
      <w:r>
        <w:rPr>
          <w:rFonts w:ascii="Calibri" w:hAnsi="Calibri"/>
        </w:rPr>
        <w:t>Learn the BMH Group service standard and the mindset that keeps seller conversations clear, calm, and human.</w:t>
      </w:r>
    </w:p>
    <w:p>
      <w:pPr>
        <w:pStyle w:val="Heading1"/>
      </w:pPr>
      <w:r>
        <w:t>Spoken script</w:t>
      </w:r>
    </w:p>
    <w:p>
      <w:pPr>
        <w:pStyle w:val="Heading2"/>
        <w:keepNext/>
      </w:pPr>
      <w:r>
        <w:t>Scene 1: Welcome</w:t>
      </w:r>
    </w:p>
    <w:p>
      <w:pPr>
        <w:keepNext/>
        <w:keepLines/>
      </w:pPr>
      <w:r>
        <w:t>Hi, I'm Andrea. Welcome to BMH Group. This training is here to help you understand how we serve people, how the work moves, and what good judgment sounds like in a real conversation.</w:t>
      </w:r>
    </w:p>
    <w:p>
      <w:pPr>
        <w:keepNext/>
        <w:keepLines/>
        <w:spacing w:after="60"/>
      </w:pPr>
      <w:r>
        <w:rPr>
          <w:rFonts w:ascii="Calibri" w:hAnsi="Calibri"/>
          <w:b/>
          <w:color w:val="1F4D78"/>
        </w:rPr>
        <w:t xml:space="preserve">Visual plan: </w:t>
      </w:r>
      <w:r>
        <w:rPr>
          <w:rFonts w:ascii="Calibri" w:hAnsi="Calibri"/>
        </w:rPr>
        <w:t>Andrea in a relaxed medium shot</w:t>
      </w:r>
    </w:p>
    <w:p>
      <w:pPr>
        <w:keepLines/>
        <w:spacing w:after="160"/>
      </w:pPr>
      <w:r>
        <w:rPr>
          <w:rFonts w:ascii="Calibri" w:hAnsi="Calibri"/>
          <w:b/>
          <w:color w:val="1F4D78"/>
        </w:rPr>
        <w:t xml:space="preserve">Editor note: </w:t>
      </w:r>
      <w:r>
        <w:rPr>
          <w:rFonts w:ascii="Calibri" w:hAnsi="Calibri"/>
          <w:i/>
          <w:color w:val="666666"/>
        </w:rPr>
        <w:t>Keep the introduction direct and uncluttered.</w:t>
      </w:r>
    </w:p>
    <w:p>
      <w:pPr>
        <w:pStyle w:val="Heading2"/>
        <w:keepNext/>
      </w:pPr>
      <w:r>
        <w:t>Scene 2: Start with the person</w:t>
      </w:r>
    </w:p>
    <w:p>
      <w:pPr>
        <w:keepNext/>
        <w:keepLines/>
      </w:pPr>
      <w:r>
        <w:t>Most people who speak with us are trying to solve something. The property may need work. A move may be stalled. A family may be carrying a problem they did not expect. Start with the person and the situation before you start talking about a solution.</w:t>
      </w:r>
    </w:p>
    <w:p>
      <w:pPr>
        <w:keepNext/>
        <w:keepLines/>
        <w:spacing w:after="60"/>
      </w:pPr>
      <w:r>
        <w:rPr>
          <w:rFonts w:ascii="Calibri" w:hAnsi="Calibri"/>
          <w:b/>
          <w:color w:val="1F4D78"/>
        </w:rPr>
        <w:t xml:space="preserve">Visual plan: </w:t>
      </w:r>
      <w:r>
        <w:rPr>
          <w:rFonts w:ascii="Calibri" w:hAnsi="Calibri"/>
        </w:rPr>
        <w:t>Andrea standing with open posture</w:t>
      </w:r>
    </w:p>
    <w:p>
      <w:pPr>
        <w:keepLines/>
        <w:spacing w:after="160"/>
      </w:pPr>
      <w:r>
        <w:rPr>
          <w:rFonts w:ascii="Calibri" w:hAnsi="Calibri"/>
          <w:b/>
          <w:color w:val="1F4D78"/>
        </w:rPr>
        <w:t xml:space="preserve">Editor note: </w:t>
      </w:r>
      <w:r>
        <w:rPr>
          <w:rFonts w:ascii="Calibri" w:hAnsi="Calibri"/>
          <w:i/>
          <w:color w:val="666666"/>
        </w:rPr>
        <w:t>Optional cutaway may show a seller reviewing property papers.</w:t>
      </w:r>
    </w:p>
    <w:p>
      <w:pPr>
        <w:pStyle w:val="Heading2"/>
        <w:keepNext/>
      </w:pPr>
      <w:r>
        <w:t>Scene 3: Listen for the real need</w:t>
      </w:r>
    </w:p>
    <w:p>
      <w:pPr>
        <w:keepNext/>
        <w:keepLines/>
      </w:pPr>
      <w:r>
        <w:t>Ask clear questions. Listen all the way through the answer. A seller may mention price first, then reveal that timing, repairs, or a difficult family decision is the real concern. You cannot help with what you have not understood.</w:t>
      </w:r>
    </w:p>
    <w:p>
      <w:pPr>
        <w:keepNext/>
        <w:keepLines/>
        <w:spacing w:after="60"/>
      </w:pPr>
      <w:r>
        <w:rPr>
          <w:rFonts w:ascii="Calibri" w:hAnsi="Calibri"/>
          <w:b/>
          <w:color w:val="1F4D78"/>
        </w:rPr>
        <w:t xml:space="preserve">Visual plan: </w:t>
      </w:r>
      <w:r>
        <w:rPr>
          <w:rFonts w:ascii="Calibri" w:hAnsi="Calibri"/>
        </w:rPr>
        <w:t>Andrea seated at a desk in a medium-wide frame</w:t>
      </w:r>
    </w:p>
    <w:p>
      <w:pPr>
        <w:keepLines/>
        <w:spacing w:after="160"/>
      </w:pPr>
      <w:r>
        <w:rPr>
          <w:rFonts w:ascii="Calibri" w:hAnsi="Calibri"/>
          <w:b/>
          <w:color w:val="1F4D78"/>
        </w:rPr>
        <w:t xml:space="preserve">Editor note: </w:t>
      </w:r>
      <w:r>
        <w:rPr>
          <w:rFonts w:ascii="Calibri" w:hAnsi="Calibri"/>
          <w:i/>
          <w:color w:val="666666"/>
        </w:rPr>
        <w:t>Use a calm listening gesture and leave room for a brief pause.</w:t>
      </w:r>
    </w:p>
    <w:p>
      <w:pPr>
        <w:pStyle w:val="Heading2"/>
        <w:keepNext/>
      </w:pPr>
      <w:r>
        <w:t>Scene 4: Explain cash as is accurately</w:t>
      </w:r>
    </w:p>
    <w:p>
      <w:pPr>
        <w:keepNext/>
        <w:keepLines/>
      </w:pPr>
      <w:r>
        <w:t>A cash, as-is path can remove some of the work that comes with preparing a property for a traditional sale. The exact price, timing, fees, and responsibilities depend on the written offer and the facts of that property. Explain only what has been confirmed. If you are unsure, pause and get the right answer.</w:t>
      </w:r>
    </w:p>
    <w:p>
      <w:pPr>
        <w:keepNext/>
        <w:keepLines/>
        <w:spacing w:after="60"/>
      </w:pPr>
      <w:r>
        <w:rPr>
          <w:rFonts w:ascii="Calibri" w:hAnsi="Calibri"/>
          <w:b/>
          <w:color w:val="1F4D78"/>
        </w:rPr>
        <w:t xml:space="preserve">Visual plan: </w:t>
      </w:r>
      <w:r>
        <w:rPr>
          <w:rFonts w:ascii="Calibri" w:hAnsi="Calibri"/>
        </w:rPr>
        <w:t>Andrea beside a simple property folder</w:t>
      </w:r>
    </w:p>
    <w:p>
      <w:pPr>
        <w:keepLines/>
        <w:spacing w:after="160"/>
      </w:pPr>
      <w:r>
        <w:rPr>
          <w:rFonts w:ascii="Calibri" w:hAnsi="Calibri"/>
          <w:b/>
          <w:color w:val="1F4D78"/>
        </w:rPr>
        <w:t xml:space="preserve">Editor note: </w:t>
      </w:r>
      <w:r>
        <w:rPr>
          <w:rFonts w:ascii="Calibri" w:hAnsi="Calibri"/>
          <w:i/>
          <w:color w:val="666666"/>
        </w:rPr>
        <w:t>Optional cutaway can compare repair preparation with an as-is review. Do not show promised numbers or dates.</w:t>
      </w:r>
    </w:p>
    <w:p>
      <w:pPr>
        <w:pStyle w:val="Heading2"/>
        <w:keepNext/>
      </w:pPr>
      <w:r>
        <w:t>Scene 5: Serve without pressure</w:t>
      </w:r>
    </w:p>
    <w:p>
      <w:pPr>
        <w:keepNext/>
        <w:keepLines/>
      </w:pPr>
      <w:r>
        <w:t>The goal is not to push someone toward a yes. Help them understand the available path, answer what you can, and be honest about what still needs review. A clear no is more useful than a pressured maybe.</w:t>
      </w:r>
    </w:p>
    <w:p>
      <w:pPr>
        <w:keepNext/>
        <w:keepLines/>
        <w:spacing w:after="60"/>
      </w:pPr>
      <w:r>
        <w:rPr>
          <w:rFonts w:ascii="Calibri" w:hAnsi="Calibri"/>
          <w:b/>
          <w:color w:val="1F4D78"/>
        </w:rPr>
        <w:t xml:space="preserve">Visual plan: </w:t>
      </w:r>
      <w:r>
        <w:rPr>
          <w:rFonts w:ascii="Calibri" w:hAnsi="Calibri"/>
        </w:rPr>
        <w:t>Andrea standing in a three-quarter frame</w:t>
      </w:r>
    </w:p>
    <w:p>
      <w:pPr>
        <w:keepLines/>
        <w:spacing w:after="160"/>
      </w:pPr>
      <w:r>
        <w:rPr>
          <w:rFonts w:ascii="Calibri" w:hAnsi="Calibri"/>
          <w:b/>
          <w:color w:val="1F4D78"/>
        </w:rPr>
        <w:t xml:space="preserve">Editor note: </w:t>
      </w:r>
      <w:r>
        <w:rPr>
          <w:rFonts w:ascii="Calibri" w:hAnsi="Calibri"/>
          <w:i/>
          <w:color w:val="666666"/>
        </w:rPr>
        <w:t>Use a small open-hand gesture. Keep the tone steady, not promotional.</w:t>
      </w:r>
    </w:p>
    <w:p>
      <w:pPr>
        <w:pStyle w:val="Heading2"/>
        <w:keepNext/>
      </w:pPr>
      <w:r>
        <w:t>Scene 6: Own the next step</w:t>
      </w:r>
    </w:p>
    <w:p>
      <w:pPr>
        <w:keepNext/>
        <w:keepLines/>
      </w:pPr>
      <w:r>
        <w:t>Good service also means doing what you said you would do. Keep the record current. Set the next action. Follow through, or tell the right person when something is blocked. Care and accountability belong together.</w:t>
      </w:r>
    </w:p>
    <w:p>
      <w:pPr>
        <w:keepNext/>
        <w:keepLines/>
        <w:spacing w:after="60"/>
      </w:pPr>
      <w:r>
        <w:rPr>
          <w:rFonts w:ascii="Calibri" w:hAnsi="Calibri"/>
          <w:b/>
          <w:color w:val="1F4D78"/>
        </w:rPr>
        <w:t xml:space="preserve">Visual plan: </w:t>
      </w:r>
      <w:r>
        <w:rPr>
          <w:rFonts w:ascii="Calibri" w:hAnsi="Calibri"/>
        </w:rPr>
        <w:t>Andrea at a desk with a closed notebook</w:t>
      </w:r>
    </w:p>
    <w:p>
      <w:pPr>
        <w:keepLines/>
        <w:spacing w:after="160"/>
      </w:pPr>
      <w:r>
        <w:rPr>
          <w:rFonts w:ascii="Calibri" w:hAnsi="Calibri"/>
          <w:b/>
          <w:color w:val="1F4D78"/>
        </w:rPr>
        <w:t xml:space="preserve">Editor note: </w:t>
      </w:r>
      <w:r>
        <w:rPr>
          <w:rFonts w:ascii="Calibri" w:hAnsi="Calibri"/>
          <w:i/>
          <w:color w:val="666666"/>
        </w:rPr>
        <w:t>Optional cutaway can show a clean next-action checklist without product branding.</w:t>
      </w:r>
    </w:p>
    <w:p>
      <w:pPr>
        <w:pStyle w:val="Heading2"/>
        <w:keepNext/>
      </w:pPr>
      <w:r>
        <w:t>Scene 7: Continue into mindset</w:t>
      </w:r>
    </w:p>
    <w:p>
      <w:pPr>
        <w:keepNext/>
        <w:keepLines/>
      </w:pPr>
      <w:r>
        <w:t>Continue into Mindset next. After that, take the Welcome and Mindset checkpoint and move into Terms Glossary.</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cleanly with no chapter number on screen.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BMH Group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