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Closing begins before the offer</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video-slot-15-closing</w:t>
      </w:r>
    </w:p>
    <w:p>
      <w:pPr>
        <w:spacing w:after="60"/>
      </w:pPr>
      <w:r>
        <w:rPr>
          <w:rFonts w:ascii="Calibri" w:hAnsi="Calibri"/>
          <w:b/>
        </w:rPr>
        <w:t xml:space="preserve">Held-source SHA-256: </w:t>
      </w:r>
      <w:r>
        <w:rPr>
          <w:rFonts w:ascii="Calibri" w:hAnsi="Calibri"/>
        </w:rPr>
        <w:t>6e3aa1b007117b303a05906ca8443a8b9bc38f7c44bd61475c5437b99e7c90d2</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pStyle w:val="Heading1"/>
      </w:pPr>
      <w:r>
        <w:t>Lesson contract</w:t>
      </w:r>
    </w:p>
    <w:p>
      <w:r>
        <w:rPr>
          <w:rFonts w:ascii="Calibri" w:hAnsi="Calibri"/>
          <w:b/>
        </w:rPr>
        <w:t xml:space="preserve">Objective: </w:t>
      </w:r>
      <w:r>
        <w:rPr>
          <w:rFonts w:ascii="Calibri" w:hAnsi="Calibri"/>
        </w:rPr>
        <w:t>Prepare and present an offer as a clear next step while protecting accuracy, consent, and handoff quality.</w:t>
      </w:r>
    </w:p>
    <w:p>
      <w:pPr>
        <w:pStyle w:val="Heading1"/>
      </w:pPr>
      <w:r>
        <w:t>Spoken script</w:t>
      </w:r>
    </w:p>
    <w:p>
      <w:pPr>
        <w:pStyle w:val="Heading2"/>
        <w:keepNext/>
      </w:pPr>
      <w:r>
        <w:t>Scene 1: Closing begins before the offer</w:t>
      </w:r>
    </w:p>
    <w:p>
      <w:pPr>
        <w:keepNext/>
        <w:keepLines/>
      </w:pPr>
      <w:r>
        <w:t>A clean close starts with a clean record. Before an offer is prepared, confirm the property facts, the seller's priorities, the people whose consent matters, and the questions that are still open. Missing information creates confusion later.</w:t>
      </w:r>
    </w:p>
    <w:p>
      <w:pPr>
        <w:keepNext/>
        <w:keepLines/>
        <w:spacing w:after="60"/>
      </w:pPr>
      <w:r>
        <w:rPr>
          <w:rFonts w:ascii="Calibri" w:hAnsi="Calibri"/>
          <w:b/>
          <w:color w:val="1F4D78"/>
        </w:rPr>
        <w:t xml:space="preserve">Visual plan: </w:t>
      </w:r>
      <w:r>
        <w:rPr>
          <w:rFonts w:ascii="Calibri" w:hAnsi="Calibri"/>
        </w:rPr>
        <w:t>Andrea standing in a medium shot</w:t>
      </w:r>
    </w:p>
    <w:p>
      <w:pPr>
        <w:keepLines/>
        <w:spacing w:after="160"/>
      </w:pPr>
      <w:r>
        <w:rPr>
          <w:rFonts w:ascii="Calibri" w:hAnsi="Calibri"/>
          <w:b/>
          <w:color w:val="1F4D78"/>
        </w:rPr>
        <w:t xml:space="preserve">Editor note: </w:t>
      </w:r>
      <w:r>
        <w:rPr>
          <w:rFonts w:ascii="Calibri" w:hAnsi="Calibri"/>
          <w:i/>
          <w:color w:val="666666"/>
        </w:rPr>
        <w:t>Use a simple folder as the only prop.</w:t>
      </w:r>
    </w:p>
    <w:p>
      <w:pPr>
        <w:pStyle w:val="Heading2"/>
        <w:keepNext/>
      </w:pPr>
      <w:r>
        <w:t>Scene 2: Prepare the offer inputs</w:t>
      </w:r>
    </w:p>
    <w:p>
      <w:pPr>
        <w:keepNext/>
        <w:keepLines/>
      </w:pPr>
      <w:r>
        <w:t>Bring together the condition notes, ownership information, comparable information used by the current process, price expectations, timing needs, and any special request. Mark what is confirmed and what still needs review. Do not turn an assumption into a term.</w:t>
      </w:r>
    </w:p>
    <w:p>
      <w:pPr>
        <w:keepNext/>
        <w:keepLines/>
        <w:spacing w:after="60"/>
      </w:pPr>
      <w:r>
        <w:rPr>
          <w:rFonts w:ascii="Calibri" w:hAnsi="Calibri"/>
          <w:b/>
          <w:color w:val="1F4D78"/>
        </w:rPr>
        <w:t xml:space="preserve">Visual plan: </w:t>
      </w:r>
      <w:r>
        <w:rPr>
          <w:rFonts w:ascii="Calibri" w:hAnsi="Calibri"/>
        </w:rPr>
        <w:t>Andrea seated at a desk</w:t>
      </w:r>
    </w:p>
    <w:p>
      <w:pPr>
        <w:keepLines/>
        <w:spacing w:after="160"/>
      </w:pPr>
      <w:r>
        <w:rPr>
          <w:rFonts w:ascii="Calibri" w:hAnsi="Calibri"/>
          <w:b/>
          <w:color w:val="1F4D78"/>
        </w:rPr>
        <w:t xml:space="preserve">Editor note: </w:t>
      </w:r>
      <w:r>
        <w:rPr>
          <w:rFonts w:ascii="Calibri" w:hAnsi="Calibri"/>
          <w:i/>
          <w:color w:val="666666"/>
        </w:rPr>
        <w:t>Optional cutaway shows a generic offer-preparation checklist with no job labels.</w:t>
      </w:r>
    </w:p>
    <w:p>
      <w:pPr>
        <w:pStyle w:val="Heading2"/>
        <w:keepNext/>
      </w:pPr>
      <w:r>
        <w:t>Scene 3: Protect accuracy and authority</w:t>
      </w:r>
    </w:p>
    <w:p>
      <w:pPr>
        <w:keepNext/>
        <w:keepLines/>
      </w:pPr>
      <w:r>
        <w:t>Know what you are allowed to explain and what needs approval. A draft number, an estimated date, or a possible structure is not a commitment. Use the current written process. If a seller asks for an exception, document it and get it reviewed before you say it is available.</w:t>
      </w:r>
    </w:p>
    <w:p>
      <w:pPr>
        <w:keepNext/>
        <w:keepLines/>
        <w:spacing w:after="60"/>
      </w:pPr>
      <w:r>
        <w:rPr>
          <w:rFonts w:ascii="Calibri" w:hAnsi="Calibri"/>
          <w:b/>
          <w:color w:val="1F4D78"/>
        </w:rPr>
        <w:t xml:space="preserve">Visual plan: </w:t>
      </w:r>
      <w:r>
        <w:rPr>
          <w:rFonts w:ascii="Calibri" w:hAnsi="Calibri"/>
        </w:rPr>
        <w:t>Andrea in a closer medium frame</w:t>
      </w:r>
    </w:p>
    <w:p>
      <w:pPr>
        <w:keepLines/>
        <w:spacing w:after="160"/>
      </w:pPr>
      <w:r>
        <w:rPr>
          <w:rFonts w:ascii="Calibri" w:hAnsi="Calibri"/>
          <w:b/>
          <w:color w:val="1F4D78"/>
        </w:rPr>
        <w:t xml:space="preserve">Editor note: </w:t>
      </w:r>
      <w:r>
        <w:rPr>
          <w:rFonts w:ascii="Calibri" w:hAnsi="Calibri"/>
          <w:i/>
          <w:color w:val="666666"/>
        </w:rPr>
        <w:t>Keep the delivery firm and free of urgency.</w:t>
      </w:r>
    </w:p>
    <w:p>
      <w:pPr>
        <w:pStyle w:val="Heading2"/>
        <w:keepNext/>
      </w:pPr>
      <w:r>
        <w:t>Scene 4: Present the written terms cleanly</w:t>
      </w:r>
    </w:p>
    <w:p>
      <w:pPr>
        <w:keepNext/>
        <w:keepLines/>
      </w:pPr>
      <w:r>
        <w:t>When the written offer is ready, explain the terms in plain language. Walk through price, timing, conditions, costs, and responsibilities. Ask the seller to stop you when something is unclear. The goal is understanding, not speed.</w:t>
      </w:r>
    </w:p>
    <w:p>
      <w:pPr>
        <w:keepNext/>
        <w:keepLines/>
        <w:spacing w:after="60"/>
      </w:pPr>
      <w:r>
        <w:rPr>
          <w:rFonts w:ascii="Calibri" w:hAnsi="Calibri"/>
          <w:b/>
          <w:color w:val="1F4D78"/>
        </w:rPr>
        <w:t xml:space="preserve">Visual plan: </w:t>
      </w:r>
      <w:r>
        <w:rPr>
          <w:rFonts w:ascii="Calibri" w:hAnsi="Calibri"/>
        </w:rPr>
        <w:t>Andrea beside a blank offer folder</w:t>
      </w:r>
    </w:p>
    <w:p>
      <w:pPr>
        <w:keepLines/>
        <w:spacing w:after="160"/>
      </w:pPr>
      <w:r>
        <w:rPr>
          <w:rFonts w:ascii="Calibri" w:hAnsi="Calibri"/>
          <w:b/>
          <w:color w:val="1F4D78"/>
        </w:rPr>
        <w:t xml:space="preserve">Editor note: </w:t>
      </w:r>
      <w:r>
        <w:rPr>
          <w:rFonts w:ascii="Calibri" w:hAnsi="Calibri"/>
          <w:i/>
          <w:color w:val="666666"/>
        </w:rPr>
        <w:t>Show no invented amount, date, signature, or provider branding.</w:t>
      </w:r>
    </w:p>
    <w:p>
      <w:pPr>
        <w:pStyle w:val="Heading2"/>
        <w:keepNext/>
      </w:pPr>
      <w:r>
        <w:t>Scene 5: Find the unresolved barrier</w:t>
      </w:r>
    </w:p>
    <w:p>
      <w:pPr>
        <w:keepNext/>
        <w:keepLines/>
      </w:pPr>
      <w:r>
        <w:t>If the seller hesitates, do not repeat the pitch. Ask what still feels unresolved. It may be the money, the move, another person, a document, or a condition. Restate the concern and separate what can be answered now from what needs review.</w:t>
      </w:r>
    </w:p>
    <w:p>
      <w:pPr>
        <w:keepNext/>
        <w:keepLines/>
        <w:spacing w:after="60"/>
      </w:pPr>
      <w:r>
        <w:rPr>
          <w:rFonts w:ascii="Calibri" w:hAnsi="Calibri"/>
          <w:b/>
          <w:color w:val="1F4D78"/>
        </w:rPr>
        <w:t xml:space="preserve">Visual plan: </w:t>
      </w:r>
      <w:r>
        <w:rPr>
          <w:rFonts w:ascii="Calibri" w:hAnsi="Calibri"/>
        </w:rPr>
        <w:t>Andrea seated across from an empty chair</w:t>
      </w:r>
    </w:p>
    <w:p>
      <w:pPr>
        <w:keepLines/>
        <w:spacing w:after="160"/>
      </w:pPr>
      <w:r>
        <w:rPr>
          <w:rFonts w:ascii="Calibri" w:hAnsi="Calibri"/>
          <w:b/>
          <w:color w:val="1F4D78"/>
        </w:rPr>
        <w:t xml:space="preserve">Editor note: </w:t>
      </w:r>
      <w:r>
        <w:rPr>
          <w:rFonts w:ascii="Calibri" w:hAnsi="Calibri"/>
          <w:i/>
          <w:color w:val="666666"/>
        </w:rPr>
        <w:t>Use a listening posture and a natural pause.</w:t>
      </w:r>
    </w:p>
    <w:p>
      <w:pPr>
        <w:pStyle w:val="Heading2"/>
        <w:keepNext/>
      </w:pPr>
      <w:r>
        <w:t>Scene 6: Confirm consent without pressure</w:t>
      </w:r>
    </w:p>
    <w:p>
      <w:pPr>
        <w:keepNext/>
        <w:keepLines/>
      </w:pPr>
      <w:r>
        <w:t>A valid next step needs informed agreement. Give the seller room to read the document and ask questions. Confirm who needs to sign and whether anyone else should be part of the conversation. Never use urgency that is not real and documented.</w:t>
      </w:r>
    </w:p>
    <w:p>
      <w:pPr>
        <w:keepNext/>
        <w:keepLines/>
        <w:spacing w:after="60"/>
      </w:pPr>
      <w:r>
        <w:rPr>
          <w:rFonts w:ascii="Calibri" w:hAnsi="Calibri"/>
          <w:b/>
          <w:color w:val="1F4D78"/>
        </w:rPr>
        <w:t xml:space="preserve">Visual plan: </w:t>
      </w:r>
      <w:r>
        <w:rPr>
          <w:rFonts w:ascii="Calibri" w:hAnsi="Calibri"/>
        </w:rPr>
        <w:t>Andrea standing at a slight angle</w:t>
      </w:r>
    </w:p>
    <w:p>
      <w:pPr>
        <w:keepLines/>
        <w:spacing w:after="160"/>
      </w:pPr>
      <w:r>
        <w:rPr>
          <w:rFonts w:ascii="Calibri" w:hAnsi="Calibri"/>
          <w:b/>
          <w:color w:val="1F4D78"/>
        </w:rPr>
        <w:t xml:space="preserve">Editor note: </w:t>
      </w:r>
      <w:r>
        <w:rPr>
          <w:rFonts w:ascii="Calibri" w:hAnsi="Calibri"/>
          <w:i/>
          <w:color w:val="666666"/>
        </w:rPr>
        <w:t>No countdown, handshake, or implied signature.</w:t>
      </w:r>
    </w:p>
    <w:p>
      <w:pPr>
        <w:pStyle w:val="Heading2"/>
        <w:keepNext/>
      </w:pPr>
      <w:r>
        <w:t>Scene 7: Document the next action</w:t>
      </w:r>
    </w:p>
    <w:p>
      <w:pPr>
        <w:keepNext/>
        <w:keepLines/>
      </w:pPr>
      <w:r>
        <w:t>Whether the answer is yes, no, or not yet, document what happened. Record the open question, the owner of the next action, and when the seller expects to hear back. Send the complete record through the current process so the next person has the same facts.</w:t>
      </w:r>
    </w:p>
    <w:p>
      <w:pPr>
        <w:keepNext/>
        <w:keepLines/>
        <w:spacing w:after="60"/>
      </w:pPr>
      <w:r>
        <w:rPr>
          <w:rFonts w:ascii="Calibri" w:hAnsi="Calibri"/>
          <w:b/>
          <w:color w:val="1F4D78"/>
        </w:rPr>
        <w:t xml:space="preserve">Visual plan: </w:t>
      </w:r>
      <w:r>
        <w:rPr>
          <w:rFonts w:ascii="Calibri" w:hAnsi="Calibri"/>
        </w:rPr>
        <w:t>Andrea at a desk closing a notebook</w:t>
      </w:r>
    </w:p>
    <w:p>
      <w:pPr>
        <w:keepLines/>
        <w:spacing w:after="160"/>
      </w:pPr>
      <w:r>
        <w:rPr>
          <w:rFonts w:ascii="Calibri" w:hAnsi="Calibri"/>
          <w:b/>
          <w:color w:val="1F4D78"/>
        </w:rPr>
        <w:t xml:space="preserve">Editor note: </w:t>
      </w:r>
      <w:r>
        <w:rPr>
          <w:rFonts w:ascii="Calibri" w:hAnsi="Calibri"/>
          <w:i/>
          <w:color w:val="666666"/>
        </w:rPr>
        <w:t>Optional cutaway can show a generic next-action card. No system names.</w:t>
      </w:r>
    </w:p>
    <w:p>
      <w:pPr>
        <w:pStyle w:val="Heading2"/>
        <w:keepNext/>
      </w:pPr>
      <w:r>
        <w:t>Scene 8: Keep closing logistics clear</w:t>
      </w:r>
    </w:p>
    <w:p>
      <w:pPr>
        <w:keepNext/>
        <w:keepLines/>
      </w:pPr>
      <w:r>
        <w:t>After written agreement, the work continues through ownership review, required documents, condition or access items, and closing logistics. Responsibilities vary by transaction. Follow the current written process and escalate any mismatch instead of guessing.</w:t>
      </w:r>
    </w:p>
    <w:p>
      <w:pPr>
        <w:keepNext/>
        <w:keepLines/>
        <w:spacing w:after="60"/>
      </w:pPr>
      <w:r>
        <w:rPr>
          <w:rFonts w:ascii="Calibri" w:hAnsi="Calibri"/>
          <w:b/>
          <w:color w:val="1F4D78"/>
        </w:rPr>
        <w:t xml:space="preserve">Visual plan: </w:t>
      </w:r>
      <w:r>
        <w:rPr>
          <w:rFonts w:ascii="Calibri" w:hAnsi="Calibri"/>
        </w:rPr>
        <w:t>Andrea walking past a generic office doorway</w:t>
      </w:r>
    </w:p>
    <w:p>
      <w:pPr>
        <w:keepLines/>
        <w:spacing w:after="160"/>
      </w:pPr>
      <w:r>
        <w:rPr>
          <w:rFonts w:ascii="Calibri" w:hAnsi="Calibri"/>
          <w:b/>
          <w:color w:val="1F4D78"/>
        </w:rPr>
        <w:t xml:space="preserve">Editor note: </w:t>
      </w:r>
      <w:r>
        <w:rPr>
          <w:rFonts w:ascii="Calibri" w:hAnsi="Calibri"/>
          <w:i/>
          <w:color w:val="666666"/>
        </w:rPr>
        <w:t>Remove ACQUISITION shirts and Transaction Coordinator door text. Use no role labels.</w:t>
      </w:r>
    </w:p>
    <w:p>
      <w:pPr>
        <w:pStyle w:val="Heading2"/>
        <w:keepNext/>
      </w:pPr>
      <w:r>
        <w:t>Scene 9: Continue to the checkpoint</w:t>
      </w:r>
    </w:p>
    <w:p>
      <w:pPr>
        <w:keepNext/>
        <w:keepLines/>
      </w:pPr>
      <w:r>
        <w:t>Take the Closing and Deal Engineering checkpoint next. Then complete the Cadence and Close Capstone.</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begins before the offer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