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7D" w:rsidRDefault="00ED0B7D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Palatino-Bold"/>
          <w:b/>
          <w:bCs/>
          <w:kern w:val="0"/>
          <w:szCs w:val="20"/>
        </w:rPr>
      </w:pPr>
      <w:r>
        <w:rPr>
          <w:rFonts w:asciiTheme="minorEastAsia" w:hAnsiTheme="minorEastAsia" w:cs="Palatino-Bold" w:hint="eastAsia"/>
          <w:b/>
          <w:bCs/>
          <w:kern w:val="0"/>
          <w:szCs w:val="20"/>
        </w:rPr>
        <w:t>2</w:t>
      </w:r>
      <w:r>
        <w:rPr>
          <w:rFonts w:asciiTheme="minorEastAsia" w:hAnsiTheme="minorEastAsia" w:cs="Palatino-Bold"/>
          <w:b/>
          <w:bCs/>
          <w:kern w:val="0"/>
          <w:szCs w:val="20"/>
        </w:rPr>
        <w:t xml:space="preserve">01433707 </w:t>
      </w:r>
      <w:r>
        <w:rPr>
          <w:rFonts w:asciiTheme="minorEastAsia" w:hAnsiTheme="minorEastAsia" w:cs="Palatino-Bold" w:hint="eastAsia"/>
          <w:b/>
          <w:bCs/>
          <w:kern w:val="0"/>
          <w:szCs w:val="20"/>
        </w:rPr>
        <w:t>이형욱</w:t>
      </w:r>
      <w:bookmarkStart w:id="0" w:name="_GoBack"/>
      <w:bookmarkEnd w:id="0"/>
    </w:p>
    <w:p w:rsidR="008E1C2F" w:rsidRPr="008E1C2F" w:rsidRDefault="003D2D5D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14.4 </w:t>
      </w:r>
      <w:r w:rsidRPr="008E1C2F">
        <w:rPr>
          <w:rFonts w:asciiTheme="minorEastAsia" w:hAnsiTheme="minorEastAsia" w:cs="Palatino-Roman"/>
          <w:kern w:val="0"/>
          <w:szCs w:val="20"/>
        </w:rPr>
        <w:t>Justify the following statement: Concurrent execution of transactions is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>more important when data must be fetched from (slow) disk or when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>transactions are long, and is less important when data are inmemory and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>transactions are very short.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b/>
          <w:kern w:val="0"/>
          <w:szCs w:val="20"/>
        </w:rPr>
      </w:pPr>
      <w:r w:rsidRPr="008E1C2F">
        <w:rPr>
          <w:rFonts w:asciiTheme="minorEastAsia" w:hAnsiTheme="minorEastAsia" w:cs="Times New Roman" w:hint="eastAsia"/>
          <w:b/>
          <w:kern w:val="0"/>
          <w:szCs w:val="20"/>
        </w:rPr>
        <w:t>A</w:t>
      </w:r>
      <w:r w:rsidRPr="008E1C2F">
        <w:rPr>
          <w:rFonts w:asciiTheme="minorEastAsia" w:hAnsiTheme="minorEastAsia" w:cs="Times New Roman"/>
          <w:b/>
          <w:kern w:val="0"/>
          <w:szCs w:val="20"/>
        </w:rPr>
        <w:t>nswer: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If a transaction is very long or when it fetches data from a slow disk, it takes a long time to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complete. In absence of concurrency, other transactions will have to wait for longer period of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time. Average responce timewill increase.Alsowhen the transaction is readingdata from disk,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CPU is idle. So resources are not properly utilized. Hence concurrent execution becomes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important in this case.However,when the transactions are short or the data is available in</w:t>
      </w:r>
    </w:p>
    <w:p w:rsidR="003D2D5D" w:rsidRPr="008E1C2F" w:rsidRDefault="008E1C2F" w:rsidP="008E1C2F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memory, these problems do not occur.</w:t>
      </w:r>
    </w:p>
    <w:p w:rsidR="003D2D5D" w:rsidRPr="008E1C2F" w:rsidRDefault="003D2D5D" w:rsidP="003D2D5D">
      <w:pPr>
        <w:wordWrap/>
        <w:adjustRightInd w:val="0"/>
        <w:spacing w:after="0" w:line="240" w:lineRule="auto"/>
        <w:jc w:val="left"/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14.6 </w:t>
      </w:r>
      <w:r w:rsidRPr="008E1C2F">
        <w:rPr>
          <w:rFonts w:asciiTheme="minorEastAsia" w:hAnsiTheme="minorEastAsia" w:cs="Palatino-Roman"/>
          <w:kern w:val="0"/>
          <w:szCs w:val="20"/>
        </w:rPr>
        <w:t>Consider the precedence graph of Figure 14.16. Is the corresponding</w:t>
      </w:r>
    </w:p>
    <w:p w:rsidR="003D2D5D" w:rsidRPr="008E1C2F" w:rsidRDefault="003D2D5D" w:rsidP="003D2D5D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Palatino-Roman"/>
          <w:kern w:val="0"/>
          <w:szCs w:val="20"/>
        </w:rPr>
        <w:t>schedule conflict serializable? Explain your answer.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b/>
          <w:bCs/>
          <w:kern w:val="0"/>
          <w:szCs w:val="20"/>
        </w:rPr>
      </w:pPr>
      <w:r w:rsidRPr="008E1C2F">
        <w:rPr>
          <w:rFonts w:asciiTheme="minorEastAsia" w:hAnsiTheme="minorEastAsia" w:cs="Times New Roman"/>
          <w:b/>
          <w:bCs/>
          <w:kern w:val="0"/>
          <w:szCs w:val="20"/>
        </w:rPr>
        <w:t>Answer: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There is a serializable schedule corresponding to the precedence graph below, since the graph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is acyclic. A possible schedule is obtained by doing a topological sort, that is,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1,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2,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3,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4,</w:t>
      </w:r>
    </w:p>
    <w:p w:rsidR="003D2D5D" w:rsidRPr="008E1C2F" w:rsidRDefault="008E1C2F" w:rsidP="008E1C2F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5.</w:t>
      </w:r>
    </w:p>
    <w:p w:rsidR="003D2D5D" w:rsidRPr="008E1C2F" w:rsidRDefault="003D2D5D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14.8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The </w:t>
      </w: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lost update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anomaly is said to occur if a transaction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Tj </w:t>
      </w:r>
      <w:r w:rsidRPr="008E1C2F">
        <w:rPr>
          <w:rFonts w:asciiTheme="minorEastAsia" w:hAnsiTheme="minorEastAsia" w:cs="Palatino-Roman"/>
          <w:kern w:val="0"/>
          <w:szCs w:val="20"/>
        </w:rPr>
        <w:t>reads a data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item, then another transaction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Tk </w:t>
      </w:r>
      <w:r w:rsidRPr="008E1C2F">
        <w:rPr>
          <w:rFonts w:asciiTheme="minorEastAsia" w:hAnsiTheme="minorEastAsia" w:cs="Palatino-Roman"/>
          <w:kern w:val="0"/>
          <w:szCs w:val="20"/>
        </w:rPr>
        <w:t>writes the data item (possibly based on a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previous read), afterwhich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Tj </w:t>
      </w:r>
      <w:r w:rsidRPr="008E1C2F">
        <w:rPr>
          <w:rFonts w:asciiTheme="minorEastAsia" w:hAnsiTheme="minorEastAsia" w:cs="Palatino-Roman"/>
          <w:kern w:val="0"/>
          <w:szCs w:val="20"/>
        </w:rPr>
        <w:t>writes the data item.The update performed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by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Tk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has been lost, since the update done by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Tj </w:t>
      </w:r>
      <w:r w:rsidRPr="008E1C2F">
        <w:rPr>
          <w:rFonts w:asciiTheme="minorEastAsia" w:hAnsiTheme="minorEastAsia" w:cs="Palatino-Roman"/>
          <w:kern w:val="0"/>
          <w:szCs w:val="20"/>
        </w:rPr>
        <w:t>ignored the value written</w:t>
      </w:r>
      <w:r w:rsidR="008E1C2F">
        <w:rPr>
          <w:rFonts w:asciiTheme="minorEastAsia" w:hAnsiTheme="minorEastAsia" w:cs="Palatino-Roman"/>
          <w:kern w:val="0"/>
          <w:szCs w:val="20"/>
        </w:rPr>
        <w:t xml:space="preserve">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by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Tk </w:t>
      </w:r>
      <w:r w:rsidRPr="008E1C2F">
        <w:rPr>
          <w:rFonts w:asciiTheme="minorEastAsia" w:hAnsiTheme="minorEastAsia" w:cs="Palatino-Roman"/>
          <w:kern w:val="0"/>
          <w:szCs w:val="20"/>
        </w:rPr>
        <w:t>.</w:t>
      </w:r>
      <w:r w:rsidR="008E1C2F" w:rsidRPr="008E1C2F">
        <w:rPr>
          <w:rFonts w:asciiTheme="minorEastAsia" w:hAnsiTheme="minorEastAsia" w:hint="eastAsia"/>
          <w:noProof/>
          <w:szCs w:val="20"/>
        </w:rPr>
        <w:t xml:space="preserve"> </w:t>
      </w:r>
      <w:r w:rsidR="008E1C2F" w:rsidRPr="008E1C2F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54AD6224" wp14:editId="1A9ADF24">
            <wp:extent cx="5125675" cy="34417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68" cy="34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D" w:rsidRPr="008E1C2F" w:rsidRDefault="003D2D5D" w:rsidP="003D2D5D">
      <w:pPr>
        <w:rPr>
          <w:rFonts w:asciiTheme="minorEastAsia" w:hAnsiTheme="minorEastAsia"/>
          <w:szCs w:val="20"/>
        </w:rPr>
      </w:pP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lastRenderedPageBreak/>
        <w:t>a. A schedule showing the Lost Update Anomaly: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T1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 T2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------------------------------------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Read(A)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 Read(A)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 write(A)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Write(A)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|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In the above schedule, the value written by the transaction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>2 is lost because of the write of</w:t>
      </w:r>
    </w:p>
    <w:p w:rsidR="00E47301" w:rsidRPr="008E1C2F" w:rsidRDefault="00E47301" w:rsidP="00E47301">
      <w:pPr>
        <w:rPr>
          <w:rFonts w:asciiTheme="minorEastAsia" w:hAnsiTheme="minorEastAsia"/>
          <w:szCs w:val="20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the transaction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>1.</w:t>
      </w:r>
    </w:p>
    <w:p w:rsidR="00E47301" w:rsidRPr="008E1C2F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b. Lost Update Anomaly in Read Committed Isolation Level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T1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 T2</w:t>
      </w:r>
    </w:p>
    <w:p w:rsidR="00E47301" w:rsidRDefault="00E47301" w:rsidP="00E4730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------------------------------------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Lock-S(A)</w:t>
      </w:r>
      <w:r>
        <w:rPr>
          <w:rFonts w:asciiTheme="minorEastAsia" w:hAnsiTheme="minorEastAsia"/>
          <w:szCs w:val="20"/>
        </w:rPr>
        <w:tab/>
        <w:t>|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Read(A)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Unlock(A)</w:t>
      </w:r>
      <w:r>
        <w:rPr>
          <w:rFonts w:asciiTheme="minorEastAsia" w:hAnsiTheme="minorEastAsia"/>
          <w:szCs w:val="20"/>
        </w:rPr>
        <w:tab/>
        <w:t>|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lock-X(A)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read(A)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write(A)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unlock(A)</w:t>
      </w:r>
    </w:p>
    <w:p w:rsidR="00E47301" w:rsidRPr="008E1C2F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commit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Lock-X(A)</w:t>
      </w:r>
      <w:r>
        <w:rPr>
          <w:rFonts w:asciiTheme="minorEastAsia" w:hAnsiTheme="minorEastAsia"/>
          <w:szCs w:val="20"/>
        </w:rPr>
        <w:tab/>
        <w:t>|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Write(A)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E47301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Unlock(A)</w:t>
      </w:r>
      <w:r>
        <w:rPr>
          <w:rFonts w:asciiTheme="minorEastAsia" w:hAnsiTheme="minorEastAsia"/>
          <w:szCs w:val="20"/>
        </w:rPr>
        <w:tab/>
        <w:t>|</w:t>
      </w:r>
    </w:p>
    <w:p w:rsidR="00E47301" w:rsidRPr="008E1C2F" w:rsidRDefault="00E47301" w:rsidP="00E4730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Commit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8E1C2F" w:rsidRPr="00E47301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c. Lost Update Anomaly is not possible in Repeatable Read isolation level. In repeatable read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isolation level, a transaction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1 reading a data item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X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, holds a shared lock on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X </w:t>
      </w:r>
      <w:r w:rsidRPr="008E1C2F">
        <w:rPr>
          <w:rFonts w:asciiTheme="minorEastAsia" w:hAnsiTheme="minorEastAsia" w:cs="Times New Roman"/>
          <w:kern w:val="0"/>
          <w:szCs w:val="20"/>
        </w:rPr>
        <w:t>till the end.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This makes it impossible for a newer transaction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2 to write the value of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X </w:t>
      </w:r>
      <w:r w:rsidRPr="008E1C2F">
        <w:rPr>
          <w:rFonts w:asciiTheme="minorEastAsia" w:hAnsiTheme="minorEastAsia" w:cs="Times New Roman"/>
          <w:kern w:val="0"/>
          <w:szCs w:val="20"/>
        </w:rPr>
        <w:t>(which requires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X-lock) until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1 finishes. This forces the serialization order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1,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2 and thus the value written</w:t>
      </w:r>
    </w:p>
    <w:p w:rsidR="008E1C2F" w:rsidRPr="008E1C2F" w:rsidRDefault="008E1C2F" w:rsidP="008E1C2F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by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2 is not lost.</w:t>
      </w:r>
    </w:p>
    <w:p w:rsidR="003D2D5D" w:rsidRPr="008E1C2F" w:rsidRDefault="003D2D5D" w:rsidP="003D2D5D">
      <w:pPr>
        <w:wordWrap/>
        <w:adjustRightInd w:val="0"/>
        <w:spacing w:after="0" w:line="240" w:lineRule="auto"/>
        <w:jc w:val="left"/>
        <w:rPr>
          <w:rFonts w:asciiTheme="minorEastAsia" w:hAnsiTheme="minorEastAsia" w:cs="Palatino-Italic"/>
          <w:i/>
          <w:iCs/>
          <w:kern w:val="0"/>
          <w:szCs w:val="20"/>
        </w:rPr>
      </w:pP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14.14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Explain the distinction between the terms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 xml:space="preserve">serial schedule </w:t>
      </w:r>
      <w:r w:rsidRPr="008E1C2F">
        <w:rPr>
          <w:rFonts w:asciiTheme="minorEastAsia" w:hAnsiTheme="minorEastAsia" w:cs="Palatino-Roman"/>
          <w:kern w:val="0"/>
          <w:szCs w:val="20"/>
        </w:rPr>
        <w:t xml:space="preserve">and </w:t>
      </w: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>serializable</w:t>
      </w:r>
    </w:p>
    <w:p w:rsidR="003D2D5D" w:rsidRPr="008E1C2F" w:rsidRDefault="003D2D5D" w:rsidP="003D2D5D">
      <w:pPr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Italic"/>
          <w:i/>
          <w:iCs/>
          <w:kern w:val="0"/>
          <w:szCs w:val="20"/>
        </w:rPr>
        <w:t>schedule</w:t>
      </w:r>
      <w:r w:rsidRPr="008E1C2F">
        <w:rPr>
          <w:rFonts w:asciiTheme="minorEastAsia" w:hAnsiTheme="minorEastAsia" w:cs="Palatino-Roman"/>
          <w:kern w:val="0"/>
          <w:szCs w:val="20"/>
        </w:rPr>
        <w:t>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b/>
          <w:bCs/>
          <w:kern w:val="0"/>
          <w:szCs w:val="20"/>
        </w:rPr>
      </w:pPr>
      <w:r w:rsidRPr="008E1C2F">
        <w:rPr>
          <w:rFonts w:asciiTheme="minorEastAsia" w:hAnsiTheme="minorEastAsia" w:cs="Times New Roman"/>
          <w:b/>
          <w:bCs/>
          <w:kern w:val="0"/>
          <w:szCs w:val="20"/>
        </w:rPr>
        <w:t>Answer: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A schedule inwhich all the instructions belonging to one single transaction appear together is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called a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serial schedule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. A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serializable schedule </w:t>
      </w:r>
      <w:r w:rsidRPr="008E1C2F">
        <w:rPr>
          <w:rFonts w:asciiTheme="minorEastAsia" w:hAnsiTheme="minorEastAsia" w:cs="Times New Roman"/>
          <w:kern w:val="0"/>
          <w:szCs w:val="20"/>
        </w:rPr>
        <w:t>has a weaker restriction that it should be</w:t>
      </w:r>
      <w:r>
        <w:rPr>
          <w:rFonts w:asciiTheme="minorEastAsia" w:hAnsiTheme="minorEastAsia" w:cs="Times New Roman"/>
          <w:kern w:val="0"/>
          <w:szCs w:val="20"/>
        </w:rPr>
        <w:t xml:space="preserve">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equivalent </w:t>
      </w:r>
      <w:r w:rsidRPr="008E1C2F">
        <w:rPr>
          <w:rFonts w:asciiTheme="minorEastAsia" w:hAnsiTheme="minorEastAsia" w:cs="Times New Roman"/>
          <w:kern w:val="0"/>
          <w:szCs w:val="20"/>
        </w:rPr>
        <w:t>to some serial schedule. There are two definitions of schedule equivalence –</w:t>
      </w:r>
    </w:p>
    <w:p w:rsidR="003D2D5D" w:rsidRPr="008E1C2F" w:rsidRDefault="008E1C2F" w:rsidP="006E3AB7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conflict equivalence and view</w:t>
      </w:r>
      <w:r w:rsidR="006E3AB7">
        <w:rPr>
          <w:rFonts w:asciiTheme="minorEastAsia" w:hAnsiTheme="minorEastAsia" w:cs="Times New Roman"/>
          <w:kern w:val="0"/>
          <w:szCs w:val="20"/>
        </w:rPr>
        <w:t xml:space="preserve"> </w:t>
      </w:r>
      <w:r w:rsidRPr="008E1C2F">
        <w:rPr>
          <w:rFonts w:asciiTheme="minorEastAsia" w:hAnsiTheme="minorEastAsia" w:cs="Times New Roman"/>
          <w:kern w:val="0"/>
          <w:szCs w:val="20"/>
        </w:rPr>
        <w:t>equivalence. Both of these are described in the chapter.</w:t>
      </w:r>
    </w:p>
    <w:p w:rsidR="003D2D5D" w:rsidRPr="008E1C2F" w:rsidRDefault="003D2D5D" w:rsidP="003D2D5D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>
            <wp:extent cx="5591175" cy="3543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D" w:rsidRDefault="00E47301" w:rsidP="003D2D5D"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a. 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There are two possible executions: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1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2 and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>1</w:t>
      </w:r>
    </w:p>
    <w:tbl>
      <w:tblPr>
        <w:tblStyle w:val="a4"/>
        <w:tblpPr w:leftFromText="142" w:rightFromText="142" w:vertAnchor="text" w:horzAnchor="page" w:tblpX="2428" w:tblpY="702"/>
        <w:tblOverlap w:val="never"/>
        <w:tblW w:w="0" w:type="auto"/>
        <w:tblLook w:val="04A0" w:firstRow="1" w:lastRow="0" w:firstColumn="1" w:lastColumn="0" w:noHBand="0" w:noVBand="1"/>
      </w:tblPr>
      <w:tblGrid>
        <w:gridCol w:w="497"/>
        <w:gridCol w:w="497"/>
      </w:tblGrid>
      <w:tr w:rsidR="00DD0674" w:rsidTr="00DD0674">
        <w:trPr>
          <w:trHeight w:val="1168"/>
        </w:trPr>
        <w:tc>
          <w:tcPr>
            <w:tcW w:w="497" w:type="dxa"/>
          </w:tcPr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497" w:type="dxa"/>
          </w:tcPr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</w:tbl>
    <w:p w:rsidR="00DD0674" w:rsidRDefault="00E47301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Case 1:</w:t>
      </w:r>
      <w:r w:rsidR="00DD0674">
        <w:rPr>
          <w:rFonts w:asciiTheme="minorEastAsia" w:hAnsiTheme="minorEastAsia"/>
          <w:szCs w:val="20"/>
        </w:rPr>
        <w:tab/>
        <w:t xml:space="preserve">   A    B</w:t>
      </w:r>
    </w:p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Initially</w:t>
      </w:r>
    </w:p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After t1</w:t>
      </w:r>
    </w:p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After t2</w:t>
      </w:r>
    </w:p>
    <w:p w:rsidR="00DD0674" w:rsidRDefault="00DD0674" w:rsidP="003D2D5D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szCs w:val="20"/>
        </w:rPr>
        <w:t xml:space="preserve">Consistency met : </w:t>
      </w:r>
      <w:r>
        <w:rPr>
          <w:rFonts w:asciiTheme="minorEastAsia" w:hAnsiTheme="minorEastAsia"/>
          <w:noProof/>
          <w:szCs w:val="20"/>
        </w:rPr>
        <w:t>A=0</w:t>
      </w:r>
      <w:r>
        <w:rPr>
          <w:rFonts w:asciiTheme="minorEastAsia" w:hAnsiTheme="minorEastAsia" w:hint="eastAsia"/>
          <w:noProof/>
          <w:szCs w:val="20"/>
        </w:rPr>
        <w:t>ⅴB</w:t>
      </w:r>
      <w:r>
        <w:rPr>
          <w:rFonts w:asciiTheme="minorEastAsia" w:hAnsiTheme="minorEastAsia"/>
          <w:noProof/>
          <w:szCs w:val="20"/>
        </w:rPr>
        <w:t xml:space="preserve">=0 </w:t>
      </w:r>
      <w:r>
        <w:rPr>
          <w:rFonts w:asciiTheme="minorEastAsia" w:hAnsiTheme="minorEastAsia" w:hint="eastAsia"/>
          <w:noProof/>
          <w:szCs w:val="20"/>
        </w:rPr>
        <w:t xml:space="preserve">≡ </w:t>
      </w:r>
      <w:r>
        <w:rPr>
          <w:rFonts w:asciiTheme="minorEastAsia" w:hAnsiTheme="minorEastAsia"/>
          <w:noProof/>
          <w:szCs w:val="20"/>
        </w:rPr>
        <w:t>T</w:t>
      </w:r>
      <w:r>
        <w:rPr>
          <w:rFonts w:asciiTheme="minorEastAsia" w:hAnsiTheme="minorEastAsia" w:hint="eastAsia"/>
          <w:noProof/>
          <w:szCs w:val="20"/>
        </w:rPr>
        <w:t>ⅴ</w:t>
      </w:r>
      <w:r>
        <w:rPr>
          <w:rFonts w:asciiTheme="minorEastAsia" w:hAnsiTheme="minorEastAsia"/>
          <w:noProof/>
          <w:szCs w:val="20"/>
        </w:rPr>
        <w:t>F=T</w:t>
      </w:r>
    </w:p>
    <w:p w:rsidR="00E47301" w:rsidRDefault="00E47301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Case 2: </w:t>
      </w:r>
      <w:r w:rsidR="00DD0674">
        <w:rPr>
          <w:rFonts w:asciiTheme="minorEastAsia" w:hAnsiTheme="minorEastAsia"/>
          <w:szCs w:val="20"/>
        </w:rPr>
        <w:t xml:space="preserve">    A    B</w:t>
      </w:r>
    </w:p>
    <w:tbl>
      <w:tblPr>
        <w:tblStyle w:val="a4"/>
        <w:tblpPr w:leftFromText="142" w:rightFromText="142" w:vertAnchor="text" w:horzAnchor="page" w:tblpX="2495" w:tblpY="195"/>
        <w:tblOverlap w:val="never"/>
        <w:tblW w:w="0" w:type="auto"/>
        <w:tblLook w:val="04A0" w:firstRow="1" w:lastRow="0" w:firstColumn="1" w:lastColumn="0" w:noHBand="0" w:noVBand="1"/>
      </w:tblPr>
      <w:tblGrid>
        <w:gridCol w:w="497"/>
        <w:gridCol w:w="497"/>
      </w:tblGrid>
      <w:tr w:rsidR="00DD0674" w:rsidTr="00DD0674">
        <w:trPr>
          <w:trHeight w:val="1168"/>
        </w:trPr>
        <w:tc>
          <w:tcPr>
            <w:tcW w:w="497" w:type="dxa"/>
          </w:tcPr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497" w:type="dxa"/>
          </w:tcPr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  <w:p w:rsidR="00DD0674" w:rsidRDefault="00DD0674" w:rsidP="00DD067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</w:tbl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Initially</w:t>
      </w:r>
    </w:p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After t2</w:t>
      </w:r>
    </w:p>
    <w:p w:rsidR="00DD0674" w:rsidRDefault="00DD0674" w:rsidP="003D2D5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After t1</w:t>
      </w:r>
    </w:p>
    <w:p w:rsidR="00DD0674" w:rsidRDefault="00DD0674" w:rsidP="003D2D5D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/>
          <w:szCs w:val="20"/>
        </w:rPr>
        <w:t>Consistency met : A=0</w:t>
      </w:r>
      <w:r>
        <w:rPr>
          <w:rFonts w:asciiTheme="minorEastAsia" w:hAnsiTheme="minorEastAsia" w:hint="eastAsia"/>
          <w:noProof/>
          <w:szCs w:val="20"/>
        </w:rPr>
        <w:t>ⅴ</w:t>
      </w:r>
      <w:r>
        <w:rPr>
          <w:rFonts w:asciiTheme="minorEastAsia" w:hAnsiTheme="minorEastAsia"/>
          <w:noProof/>
          <w:szCs w:val="20"/>
        </w:rPr>
        <w:t xml:space="preserve">B </w:t>
      </w:r>
      <w:r>
        <w:rPr>
          <w:rFonts w:asciiTheme="minorEastAsia" w:hAnsiTheme="minorEastAsia" w:hint="eastAsia"/>
          <w:noProof/>
          <w:szCs w:val="20"/>
        </w:rPr>
        <w:t>≡</w:t>
      </w:r>
      <w:r>
        <w:rPr>
          <w:rFonts w:asciiTheme="minorEastAsia" w:hAnsiTheme="minorEastAsia"/>
          <w:noProof/>
          <w:szCs w:val="20"/>
        </w:rPr>
        <w:t xml:space="preserve"> F</w:t>
      </w:r>
      <w:r>
        <w:rPr>
          <w:rFonts w:asciiTheme="minorEastAsia" w:hAnsiTheme="minorEastAsia" w:hint="eastAsia"/>
          <w:noProof/>
          <w:szCs w:val="20"/>
        </w:rPr>
        <w:t>ⅴT</w:t>
      </w:r>
      <w:r>
        <w:rPr>
          <w:rFonts w:asciiTheme="minorEastAsia" w:hAnsiTheme="minorEastAsia"/>
          <w:noProof/>
          <w:szCs w:val="20"/>
        </w:rPr>
        <w:t>=T</w:t>
      </w:r>
    </w:p>
    <w:p w:rsidR="007D7A0B" w:rsidRDefault="007D7A0B" w:rsidP="003D2D5D">
      <w:pPr>
        <w:rPr>
          <w:rFonts w:asciiTheme="minorEastAsia" w:hAnsiTheme="minorEastAsia"/>
          <w:noProof/>
          <w:szCs w:val="20"/>
        </w:rPr>
      </w:pPr>
    </w:p>
    <w:p w:rsidR="007D7A0B" w:rsidRDefault="007D7A0B" w:rsidP="003D2D5D">
      <w:pPr>
        <w:rPr>
          <w:rFonts w:asciiTheme="minorEastAsia" w:hAnsiTheme="minorEastAsia"/>
          <w:noProof/>
          <w:szCs w:val="20"/>
        </w:rPr>
      </w:pPr>
    </w:p>
    <w:p w:rsidR="007D7A0B" w:rsidRDefault="007D7A0B" w:rsidP="003D2D5D">
      <w:pPr>
        <w:rPr>
          <w:rFonts w:asciiTheme="minorEastAsia" w:hAnsiTheme="minorEastAsia"/>
          <w:noProof/>
          <w:szCs w:val="20"/>
        </w:rPr>
      </w:pPr>
    </w:p>
    <w:p w:rsidR="007D7A0B" w:rsidRDefault="007D7A0B" w:rsidP="003D2D5D">
      <w:pPr>
        <w:rPr>
          <w:rFonts w:asciiTheme="minorEastAsia" w:hAnsiTheme="minorEastAsia"/>
          <w:noProof/>
          <w:szCs w:val="20"/>
        </w:rPr>
      </w:pPr>
    </w:p>
    <w:p w:rsidR="00DD0674" w:rsidRDefault="007D7A0B" w:rsidP="003D2D5D"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lastRenderedPageBreak/>
        <w:t xml:space="preserve">b. 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Any interleaving of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1 and </w:t>
      </w:r>
      <w:r>
        <w:rPr>
          <w:rFonts w:ascii="Times New Roman" w:hAnsi="Times New Roman" w:cs="Times New Roman"/>
          <w:i/>
          <w:iCs/>
          <w:kern w:val="0"/>
          <w:sz w:val="23"/>
          <w:szCs w:val="23"/>
        </w:rPr>
        <w:t>T</w:t>
      </w:r>
      <w:r>
        <w:rPr>
          <w:rFonts w:ascii="Times New Roman" w:hAnsi="Times New Roman" w:cs="Times New Roman"/>
          <w:kern w:val="0"/>
          <w:sz w:val="23"/>
          <w:szCs w:val="23"/>
        </w:rPr>
        <w:t>2 results in a non-serializable schedule.</w:t>
      </w:r>
    </w:p>
    <w:p w:rsidR="007D7A0B" w:rsidRPr="00E47301" w:rsidRDefault="007D7A0B" w:rsidP="003D2D5D">
      <w:pPr>
        <w:rPr>
          <w:rFonts w:asciiTheme="minorEastAsia" w:hAnsiTheme="minorEastAsia"/>
          <w:szCs w:val="20"/>
        </w:rPr>
      </w:pPr>
      <w:r w:rsidRPr="007D7A0B">
        <w:rPr>
          <w:rFonts w:asciiTheme="minorEastAsia" w:hAnsiTheme="minorEastAsia" w:hint="eastAsia"/>
          <w:noProof/>
          <w:szCs w:val="20"/>
        </w:rPr>
        <w:drawing>
          <wp:inline distT="0" distB="0" distL="0" distR="0">
            <wp:extent cx="2522855" cy="20402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0B" w:rsidRDefault="007D7A0B" w:rsidP="007D7A0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T1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| T2</w:t>
      </w:r>
    </w:p>
    <w:p w:rsidR="007D7A0B" w:rsidRDefault="007D7A0B" w:rsidP="007D7A0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------------------------------------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read(A)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read(B)</w:t>
      </w:r>
    </w:p>
    <w:p w:rsidR="007D7A0B" w:rsidRDefault="007D7A0B" w:rsidP="007D7A0B">
      <w:pPr>
        <w:spacing w:after="0" w:line="240" w:lineRule="auto"/>
        <w:ind w:firstLineChars="50" w:firstLine="1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read(A)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Read(B)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 A=0 then B=B+1</w:t>
      </w:r>
      <w:r>
        <w:rPr>
          <w:rFonts w:asciiTheme="minorEastAsia" w:hAnsiTheme="minorEastAsia"/>
          <w:szCs w:val="20"/>
        </w:rPr>
        <w:tab/>
        <w:t>|</w:t>
      </w:r>
      <w:r>
        <w:rPr>
          <w:rFonts w:asciiTheme="minorEastAsia" w:hAnsiTheme="minorEastAsia"/>
          <w:szCs w:val="20"/>
        </w:rPr>
        <w:tab/>
        <w:t>|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if B=0 then A=A+1</w:t>
      </w:r>
    </w:p>
    <w:p w:rsidR="007D7A0B" w:rsidRPr="008E1C2F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 write(A)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Write(B)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|</w:t>
      </w:r>
    </w:p>
    <w:p w:rsidR="007D7A0B" w:rsidRDefault="007D7A0B" w:rsidP="007D7A0B">
      <w:pPr>
        <w:spacing w:after="0" w:line="240" w:lineRule="auto"/>
        <w:rPr>
          <w:rFonts w:asciiTheme="minorEastAsia" w:hAnsiTheme="minorEastAsia"/>
          <w:szCs w:val="20"/>
        </w:rPr>
      </w:pPr>
    </w:p>
    <w:p w:rsidR="003D2D5D" w:rsidRPr="008E1C2F" w:rsidRDefault="003D2D5D" w:rsidP="003D2D5D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/>
          <w:szCs w:val="20"/>
        </w:rPr>
        <w:t>c. There is no parallel execution resulting in a serializable schedule. From part a. we know that a serializable schedule results in A = 0 ∨ B = 0. Suppose we start with T1 read(A). Then when the schedule ends, no matter when we run the steps of T2, B = 1. Now suppose we start executing T2 prior to completion of T1. Then T2 read(B) will give B a value of 0. So when T2 completes, A = 1. Thus B = 1 ∧ A = 1 → ¬ (A = 0 ∨ B = 0). Similarly for starting with T2 read(B).</w:t>
      </w:r>
    </w:p>
    <w:p w:rsidR="003D2D5D" w:rsidRPr="008E1C2F" w:rsidRDefault="003D2D5D" w:rsidP="003D2D5D">
      <w:pPr>
        <w:wordWrap/>
        <w:adjustRightInd w:val="0"/>
        <w:spacing w:after="0" w:line="240" w:lineRule="auto"/>
        <w:jc w:val="left"/>
        <w:rPr>
          <w:rFonts w:asciiTheme="minorEastAsia" w:hAnsiTheme="minorEastAsia" w:cs="Palatino-Bold"/>
          <w:b/>
          <w:bCs/>
          <w:kern w:val="0"/>
          <w:szCs w:val="20"/>
        </w:rPr>
      </w:pPr>
    </w:p>
    <w:p w:rsidR="003D2D5D" w:rsidRPr="008E1C2F" w:rsidRDefault="003D2D5D" w:rsidP="003D2D5D">
      <w:pPr>
        <w:wordWrap/>
        <w:adjustRightInd w:val="0"/>
        <w:spacing w:after="0" w:line="240" w:lineRule="auto"/>
        <w:jc w:val="left"/>
        <w:rPr>
          <w:rFonts w:asciiTheme="minorEastAsia" w:hAnsiTheme="minorEastAsia" w:cs="Palatino-Bold"/>
          <w:b/>
          <w:bCs/>
          <w:kern w:val="0"/>
          <w:szCs w:val="20"/>
        </w:rPr>
      </w:pPr>
      <w:r w:rsidRPr="008E1C2F">
        <w:rPr>
          <w:rFonts w:asciiTheme="minorEastAsia" w:hAnsiTheme="minorEastAsia" w:cs="Palatino-Bold"/>
          <w:b/>
          <w:bCs/>
          <w:kern w:val="0"/>
          <w:szCs w:val="20"/>
        </w:rPr>
        <w:t xml:space="preserve">14.16 </w:t>
      </w:r>
      <w:r w:rsidRPr="008E1C2F">
        <w:rPr>
          <w:rFonts w:asciiTheme="minorEastAsia" w:hAnsiTheme="minorEastAsia" w:cs="Palatino-Roman"/>
          <w:kern w:val="0"/>
          <w:szCs w:val="20"/>
        </w:rPr>
        <w:t>Give an example of a serializable schedule with two transactions such</w:t>
      </w:r>
    </w:p>
    <w:p w:rsidR="003D2D5D" w:rsidRPr="008E1C2F" w:rsidRDefault="003D2D5D" w:rsidP="003D2D5D">
      <w:pPr>
        <w:wordWrap/>
        <w:adjustRightInd w:val="0"/>
        <w:spacing w:after="0" w:line="240" w:lineRule="auto"/>
        <w:jc w:val="left"/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Roman"/>
          <w:kern w:val="0"/>
          <w:szCs w:val="20"/>
        </w:rPr>
        <w:t>that the order in which the transactions commit is different from the</w:t>
      </w:r>
    </w:p>
    <w:p w:rsidR="003D2D5D" w:rsidRPr="008E1C2F" w:rsidRDefault="003D2D5D" w:rsidP="003D2D5D">
      <w:pPr>
        <w:rPr>
          <w:rFonts w:asciiTheme="minorEastAsia" w:hAnsiTheme="minorEastAsia" w:cs="Palatino-Roman"/>
          <w:kern w:val="0"/>
          <w:szCs w:val="20"/>
        </w:rPr>
      </w:pPr>
      <w:r w:rsidRPr="008E1C2F">
        <w:rPr>
          <w:rFonts w:asciiTheme="minorEastAsia" w:hAnsiTheme="minorEastAsia" w:cs="Palatino-Roman"/>
          <w:kern w:val="0"/>
          <w:szCs w:val="20"/>
        </w:rPr>
        <w:t>serialization order.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b/>
          <w:bCs/>
          <w:kern w:val="0"/>
          <w:szCs w:val="20"/>
        </w:rPr>
      </w:pPr>
      <w:r w:rsidRPr="008E1C2F">
        <w:rPr>
          <w:rFonts w:asciiTheme="minorEastAsia" w:hAnsiTheme="minorEastAsia" w:cs="Times New Roman"/>
          <w:b/>
          <w:bCs/>
          <w:kern w:val="0"/>
          <w:szCs w:val="20"/>
        </w:rPr>
        <w:t>Answer: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Let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r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,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and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>be three relations. Consider a materialized view on these defined by (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r </w:t>
      </w:r>
      <w:r w:rsidRPr="008E1C2F">
        <w:rPr>
          <w:rFonts w:asciiTheme="minorEastAsia" w:hAnsiTheme="minorEastAsia" w:cs="Arial"/>
          <w:kern w:val="0"/>
          <w:szCs w:val="20"/>
        </w:rPr>
        <w:t xml:space="preserve">1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Arial"/>
          <w:kern w:val="0"/>
          <w:szCs w:val="20"/>
        </w:rPr>
        <w:t xml:space="preserve">1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).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Suppose relation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r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does not have any attributes common to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or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, while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and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>have foreign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key relationship. Each of them have 1000 tuples and 100 tuples are added to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r</w:t>
      </w:r>
      <w:r w:rsidRPr="008E1C2F">
        <w:rPr>
          <w:rFonts w:asciiTheme="minorEastAsia" w:hAnsiTheme="minorEastAsia" w:cs="Times New Roman"/>
          <w:kern w:val="0"/>
          <w:szCs w:val="20"/>
        </w:rPr>
        <w:t>. Then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>recomputation is better because (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Arial"/>
          <w:kern w:val="0"/>
          <w:szCs w:val="20"/>
        </w:rPr>
        <w:t xml:space="preserve">1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>) can be computed first which will have 1000 tuples. It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can then be joined with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t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. In incremental view maintenance, the increment in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>will first be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joined with either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or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>which will have 100000 tuples (cartesian product). This huge relation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i/>
          <w:iCs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lastRenderedPageBreak/>
        <w:t xml:space="preserve">will then be joined with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which will be very expensive. However, if 100 tuples are added to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s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instead of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r </w:t>
      </w:r>
      <w:r w:rsidRPr="008E1C2F">
        <w:rPr>
          <w:rFonts w:asciiTheme="minorEastAsia" w:hAnsiTheme="minorEastAsia" w:cs="Times New Roman"/>
          <w:kern w:val="0"/>
          <w:szCs w:val="20"/>
        </w:rPr>
        <w:t>in the above situation, incremental view maintenance will obviously be better as</w:t>
      </w:r>
    </w:p>
    <w:p w:rsidR="008E1C2F" w:rsidRPr="008E1C2F" w:rsidRDefault="008E1C2F" w:rsidP="008E1C2F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kern w:val="0"/>
          <w:szCs w:val="20"/>
        </w:rPr>
      </w:pPr>
      <w:r w:rsidRPr="008E1C2F">
        <w:rPr>
          <w:rFonts w:asciiTheme="minorEastAsia" w:hAnsiTheme="minorEastAsia" w:cs="Times New Roman"/>
          <w:kern w:val="0"/>
          <w:szCs w:val="20"/>
        </w:rPr>
        <w:t xml:space="preserve">increment in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s </w:t>
      </w:r>
      <w:r w:rsidRPr="008E1C2F">
        <w:rPr>
          <w:rFonts w:asciiTheme="minorEastAsia" w:hAnsiTheme="minorEastAsia" w:cs="Times New Roman"/>
          <w:kern w:val="0"/>
          <w:szCs w:val="20"/>
        </w:rPr>
        <w:t xml:space="preserve">can be joined with </w:t>
      </w: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 xml:space="preserve">t </w:t>
      </w:r>
      <w:r w:rsidRPr="008E1C2F">
        <w:rPr>
          <w:rFonts w:asciiTheme="minorEastAsia" w:hAnsiTheme="minorEastAsia" w:cs="Times New Roman"/>
          <w:kern w:val="0"/>
          <w:szCs w:val="20"/>
        </w:rPr>
        <w:t>to get a relation of size 100 which can then be joined with</w:t>
      </w:r>
    </w:p>
    <w:p w:rsidR="008E1C2F" w:rsidRPr="008E1C2F" w:rsidRDefault="008E1C2F" w:rsidP="008E1C2F">
      <w:pPr>
        <w:rPr>
          <w:rFonts w:asciiTheme="minorEastAsia" w:hAnsiTheme="minorEastAsia"/>
          <w:szCs w:val="20"/>
        </w:rPr>
      </w:pPr>
      <w:r w:rsidRPr="008E1C2F">
        <w:rPr>
          <w:rFonts w:asciiTheme="minorEastAsia" w:hAnsiTheme="minorEastAsia" w:cs="Times New Roman"/>
          <w:i/>
          <w:iCs/>
          <w:kern w:val="0"/>
          <w:szCs w:val="20"/>
        </w:rPr>
        <w:t>r</w:t>
      </w:r>
      <w:r w:rsidRPr="008E1C2F">
        <w:rPr>
          <w:rFonts w:asciiTheme="minorEastAsia" w:hAnsiTheme="minorEastAsia" w:cs="Times New Roman"/>
          <w:kern w:val="0"/>
          <w:szCs w:val="20"/>
        </w:rPr>
        <w:t>.</w:t>
      </w:r>
    </w:p>
    <w:sectPr w:rsidR="008E1C2F" w:rsidRPr="008E1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85B" w:rsidRDefault="0000085B" w:rsidP="00ED0B7D">
      <w:pPr>
        <w:spacing w:after="0" w:line="240" w:lineRule="auto"/>
      </w:pPr>
      <w:r>
        <w:separator/>
      </w:r>
    </w:p>
  </w:endnote>
  <w:endnote w:type="continuationSeparator" w:id="0">
    <w:p w:rsidR="0000085B" w:rsidRDefault="0000085B" w:rsidP="00ED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85B" w:rsidRDefault="0000085B" w:rsidP="00ED0B7D">
      <w:pPr>
        <w:spacing w:after="0" w:line="240" w:lineRule="auto"/>
      </w:pPr>
      <w:r>
        <w:separator/>
      </w:r>
    </w:p>
  </w:footnote>
  <w:footnote w:type="continuationSeparator" w:id="0">
    <w:p w:rsidR="0000085B" w:rsidRDefault="0000085B" w:rsidP="00ED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D"/>
    <w:rsid w:val="0000085B"/>
    <w:rsid w:val="0019670A"/>
    <w:rsid w:val="00385EA1"/>
    <w:rsid w:val="003D2D5D"/>
    <w:rsid w:val="0044302F"/>
    <w:rsid w:val="005B0F22"/>
    <w:rsid w:val="00606183"/>
    <w:rsid w:val="006E3AB7"/>
    <w:rsid w:val="007D7A0B"/>
    <w:rsid w:val="008E1C2F"/>
    <w:rsid w:val="00DD0674"/>
    <w:rsid w:val="00E47301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90065"/>
  <w15:chartTrackingRefBased/>
  <w15:docId w15:val="{AC997B42-DD4F-471F-9FB1-299CEAF0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01"/>
    <w:pPr>
      <w:ind w:leftChars="400" w:left="800"/>
    </w:pPr>
  </w:style>
  <w:style w:type="table" w:styleId="a4">
    <w:name w:val="Table Grid"/>
    <w:basedOn w:val="a1"/>
    <w:uiPriority w:val="39"/>
    <w:rsid w:val="00E4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B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B7D"/>
  </w:style>
  <w:style w:type="paragraph" w:styleId="a6">
    <w:name w:val="footer"/>
    <w:basedOn w:val="a"/>
    <w:link w:val="Char0"/>
    <w:uiPriority w:val="99"/>
    <w:unhideWhenUsed/>
    <w:rsid w:val="00ED0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이형욱</dc:creator>
  <cp:keywords/>
  <dc:description/>
  <cp:lastModifiedBy>이형욱</cp:lastModifiedBy>
  <cp:revision>3</cp:revision>
  <dcterms:created xsi:type="dcterms:W3CDTF">2017-12-04T13:43:00Z</dcterms:created>
  <dcterms:modified xsi:type="dcterms:W3CDTF">2017-12-04T14:58:00Z</dcterms:modified>
</cp:coreProperties>
</file>