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4A2CBFB0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1FB614B9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75672B36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65913E2E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4934F628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1DF55F3E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5BC922A8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0AC3A1D5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415A2415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562EEF4A" w:rsidR="00B510BA" w:rsidRPr="00B510BA" w:rsidRDefault="00D41265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49DEC71A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0B527D00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07EE211B" w:rsidR="00B510BA" w:rsidRPr="00B510BA" w:rsidRDefault="00D41265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38E199C6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0B58BA66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456257D4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6AEDEEA2" w:rsidR="00B510BA" w:rsidRPr="00B510BA" w:rsidRDefault="00D41265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667592E1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1334E31D" w:rsidR="00B510BA" w:rsidRPr="00B510BA" w:rsidRDefault="00D41265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53D61B6C" w:rsidR="00B510BA" w:rsidRPr="00B510BA" w:rsidRDefault="00D41265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3509D205" w:rsidR="00B510BA" w:rsidRPr="00B510BA" w:rsidRDefault="00D41265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308F9AD2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7D163DF5" w:rsidR="00B510BA" w:rsidRPr="00B510BA" w:rsidRDefault="00D41265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24082161" w:rsidR="00B510BA" w:rsidRPr="00B510BA" w:rsidRDefault="00D41265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4D882D46" w:rsidR="00B510BA" w:rsidRPr="00B510BA" w:rsidRDefault="00D41265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26307DC5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5F23F0F0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469DD571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049DB170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7054AE2F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05A821F0" w:rsidR="00B510BA" w:rsidRPr="00B510BA" w:rsidRDefault="00D41265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5FA076E7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78DC28F6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49005128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4855D857" w:rsidR="00B510BA" w:rsidRPr="00B510BA" w:rsidRDefault="00D41265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28EBDAB4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62D45EC9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35446C8B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7CF5AFF5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150D1A53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08C705CC" w:rsidR="00B510BA" w:rsidRPr="00B510BA" w:rsidRDefault="00D41265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2AACFC1D" w:rsidR="00B510BA" w:rsidRPr="00B510BA" w:rsidRDefault="00D41265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02C8103D" w:rsidR="00B510BA" w:rsidRPr="00B510BA" w:rsidRDefault="00D41265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34C66ECF" w:rsidR="00B510BA" w:rsidRPr="00B510BA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3E294821" w:rsidR="00C628AC" w:rsidRPr="003A3941" w:rsidRDefault="00D41265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20030818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68102249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A07896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Ha az adatok szerkeszthetők, visszajutunk a „Helyesek az EXIF adatok?” kérdéshez, innen pedig le </w:t>
      </w:r>
      <w:r>
        <w:lastRenderedPageBreak/>
        <w:t>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proofErr w:type="spellStart"/>
      <w:r>
        <w:t>Stakeholderek</w:t>
      </w:r>
      <w:bookmarkEnd w:id="26"/>
      <w:proofErr w:type="spellEnd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424A7945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A07896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3E465A28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működésénem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3216CA6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62F33031" w14:textId="4157F8E6" w:rsidR="008640C0" w:rsidRDefault="008640C0" w:rsidP="001454B5">
      <w:pPr>
        <w:pStyle w:val="Cmsor2"/>
        <w:numPr>
          <w:ilvl w:val="2"/>
          <w:numId w:val="4"/>
        </w:numPr>
      </w:pPr>
      <w:bookmarkStart w:id="36" w:name="_Toc120030834"/>
      <w:r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151901FD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0B59AE17" w14:textId="44F7B8CD" w:rsidR="008640C0" w:rsidRDefault="008640C0" w:rsidP="001454B5">
      <w:pPr>
        <w:pStyle w:val="Cmsor2"/>
        <w:numPr>
          <w:ilvl w:val="2"/>
          <w:numId w:val="4"/>
        </w:numPr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5A89B4C9" w:rsidR="008640C0" w:rsidRP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947674">
      <w:pPr>
        <w:pStyle w:val="Cmsor2"/>
        <w:ind w:left="788" w:hanging="431"/>
      </w:pPr>
      <w:bookmarkStart w:id="58" w:name="_Toc120030841"/>
      <w:r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686DDA">
      <w:pPr>
        <w:pStyle w:val="Cmsor3"/>
        <w:pageBreakBefore/>
        <w:ind w:left="1225" w:hanging="505"/>
      </w:pPr>
      <w:bookmarkStart w:id="64" w:name="_Toc120030844"/>
      <w:r w:rsidRPr="009D321E">
        <w:lastRenderedPageBreak/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bookmarkStart w:id="66" w:name="_Toc120030846"/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>)</w:t>
      </w:r>
      <w:r>
        <w:t xml:space="preserve">. </w:t>
      </w:r>
    </w:p>
    <w:p w14:paraId="55CC05F2" w14:textId="0E48373B" w:rsidR="00CA3202" w:rsidRDefault="00CA3202" w:rsidP="0035467A">
      <w:pPr>
        <w:pStyle w:val="Cmsor2"/>
        <w:ind w:left="788" w:hanging="431"/>
      </w:pPr>
      <w:r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lastRenderedPageBreak/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55FA3514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>A rendszer alapvetően a munkában elterjedt idősávokban vannak a legmagasabb kihasználtsági csúcsok</w:t>
      </w:r>
      <w:r w:rsidR="003A427B">
        <w:t>.</w:t>
      </w:r>
      <w:r>
        <w:t xml:space="preserve"> Ezen időszakokban lehet a legnagyobb rendszer 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Between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Failure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lastRenderedPageBreak/>
        <w:t>MTTR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To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Repair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</w:t>
      </w:r>
      <w:proofErr w:type="gramStart"/>
      <w:r>
        <w:t>a</w:t>
      </w:r>
      <w:proofErr w:type="gramEnd"/>
      <w:r>
        <w:t xml:space="preserve">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B2368E">
      <w:pPr>
        <w:pStyle w:val="Cmsor2"/>
      </w:pPr>
      <w:r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D41265">
      <w:pPr>
        <w:pStyle w:val="Cmsor2"/>
        <w:pageBreakBefore/>
        <w:ind w:left="788" w:hanging="431"/>
      </w:pPr>
      <w:bookmarkStart w:id="70" w:name="_Toc120030850"/>
      <w:r>
        <w:lastRenderedPageBreak/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36F47DC1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12560C3E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lastRenderedPageBreak/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87" w:name="_Toc120030859"/>
      <w:r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558FA009" w:rsidR="00D11260" w:rsidRPr="00D11260" w:rsidRDefault="00D41265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7896">
        <w:rPr>
          <w:noProof/>
        </w:rPr>
        <w:t>4</w:t>
      </w:r>
      <w:r>
        <w:rPr>
          <w:noProof/>
        </w:rPr>
        <w:fldChar w:fldCharType="end"/>
      </w:r>
      <w:r w:rsidR="00406C1A">
        <w:t>. ábra - Adatmodell</w:t>
      </w:r>
    </w:p>
    <w:p w14:paraId="5D5AE086" w14:textId="54108033" w:rsidR="00941786" w:rsidRDefault="00941786" w:rsidP="00941786">
      <w:pPr>
        <w:pStyle w:val="Cmsor2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11911A48" w:rsidR="00D11260" w:rsidRPr="00D11260" w:rsidRDefault="00D41265" w:rsidP="00406C1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7896">
        <w:rPr>
          <w:noProof/>
        </w:rPr>
        <w:t>5</w:t>
      </w:r>
      <w:r>
        <w:rPr>
          <w:noProof/>
        </w:rPr>
        <w:fldChar w:fldCharType="end"/>
      </w:r>
      <w:r w:rsidR="00406C1A"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108" w:name="_Toc120030871"/>
      <w:r>
        <w:t>Másodlagos kulcsok</w:t>
      </w:r>
      <w:bookmarkEnd w:id="108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EE6299">
      <w:pPr>
        <w:pStyle w:val="Cmsor3"/>
        <w:pageBreakBefore/>
        <w:ind w:left="1225" w:hanging="505"/>
      </w:pPr>
      <w:bookmarkStart w:id="109" w:name="_Toc120030872"/>
      <w:r>
        <w:lastRenderedPageBreak/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110" w:name="_Toc120030873"/>
      <w:r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CreateUser</w:t>
      </w:r>
      <w:proofErr w:type="spellEnd"/>
      <w:r w:rsidRPr="005C00EA">
        <w:rPr>
          <w:b/>
          <w:bCs/>
        </w:rPr>
        <w:t>:</w:t>
      </w:r>
      <w:r w:rsidRPr="00DC7ABD">
        <w:t xml:space="preserve">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AddBody</w:t>
      </w:r>
      <w:proofErr w:type="spellEnd"/>
      <w:r w:rsidRPr="005C00EA">
        <w:rPr>
          <w:b/>
          <w:bCs/>
        </w:rPr>
        <w:t>:</w:t>
      </w:r>
      <w:r w:rsidRPr="00DC7ABD">
        <w:t xml:space="preserve"> </w:t>
      </w:r>
      <w:r w:rsidR="005C00EA">
        <w:t>Fe</w:t>
      </w:r>
      <w:r w:rsidRPr="00DC7ABD">
        <w:t xml:space="preserve">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AddLens</w:t>
      </w:r>
      <w:proofErr w:type="spellEnd"/>
      <w:r w:rsidRPr="005C00EA">
        <w:rPr>
          <w:b/>
          <w:bCs/>
        </w:rPr>
        <w:t>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AddPicture</w:t>
      </w:r>
      <w:proofErr w:type="spellEnd"/>
      <w:r w:rsidRPr="005C00EA">
        <w:rPr>
          <w:b/>
          <w:bCs/>
        </w:rPr>
        <w:t>:</w:t>
      </w:r>
      <w:r w:rsidRPr="00DC7ABD">
        <w:t xml:space="preserve">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lastRenderedPageBreak/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3"/>
      <w:footerReference w:type="default" r:id="rId14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961B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836</TotalTime>
  <Pages>30</Pages>
  <Words>4777</Words>
  <Characters>32962</Characters>
  <Application>Microsoft Office Word</Application>
  <DocSecurity>0</DocSecurity>
  <Lines>274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188</cp:revision>
  <cp:lastPrinted>2022-11-07T21:42:00Z</cp:lastPrinted>
  <dcterms:created xsi:type="dcterms:W3CDTF">2022-09-18T08:48:00Z</dcterms:created>
  <dcterms:modified xsi:type="dcterms:W3CDTF">2022-11-23T20:21:00Z</dcterms:modified>
</cp:coreProperties>
</file>