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>Договор №{{contract_number}}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на оказание консультационных услуг по информационно-технологическому сопровождению</w:t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leader="none" w:pos="7513"/>
        </w:tabs>
        <w:jc w:val="both"/>
        <w:rPr/>
      </w:pPr>
      <w:r w:rsidDel="00000000" w:rsidR="00000000" w:rsidRPr="00000000">
        <w:rPr>
          <w:rtl w:val="0"/>
        </w:rPr>
        <w:t>г. Санкт-Петербург</w:t>
        <w:tab/>
        <w:t>«{{contract_date}}»</w:t>
      </w:r>
    </w:p>
    <w:p w:rsidR="00000000" w:rsidDel="00000000" w:rsidP="00000000" w:rsidRDefault="00000000" w:rsidRPr="00000000" w14:paraId="00000006">
      <w:pPr>
        <w:ind w:firstLine="708"/>
        <w:jc w:val="both"/>
        <w:rPr/>
      </w:pPr>
      <w:r w:rsidDel="00000000" w:rsidR="00000000" w:rsidRPr="00000000">
        <w:rPr>
          <w:rtl w:val="0"/>
        </w:rPr>
        <w:t>Индивидуальный предприниматель Александров Максим Васильевич, ИНН 780524585389, действующий на основании свидетельства о государственной регистрации ОГРНИП 325784700075175, именуемый в дальнейшем «Исполнитель», с одной стороны, и {{customer_name}} ИНН {{customer_inn}}, действующая на основании свидетельства о государственной регистрации ОГРНИП {{customer_ogrnip}}, именуемая в дальнейшем «Заказчик», с другой стороны, совместно именуемые «Стороны», заключили настоящий договор о нижеследующем:</w:t>
      </w:r>
    </w:p>
    <w:p w:rsidR="00000000" w:rsidDel="00000000" w:rsidP="00000000" w:rsidRDefault="00000000" w:rsidRPr="00000000" w14:paraId="00000007">
      <w:pPr>
        <w:ind w:firstLine="708"/>
        <w:jc w:val="both"/>
        <w:rPr/>
      </w:pPr>
      <w:r w:rsidDel="00000000" w:rsidR="00000000" w:rsidRPr="00000000">
        <w:rPr>
          <w:rtl w:val="0"/>
        </w:rPr>
        <w:t xml:space="preserve">1. ПРЕДМЕТ ДОГОВОРА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1.1. Исполнитель обязуется предоставить Заказчику консультационные услуги по информационно-технологической настройке оборудования по маркировке сырья для предприятий общественного питания (далее — «Услуги»), а Заказчик обязуется оплачивать данные Услуги на условиях настоящего договора.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 xml:space="preserve">1.2. в перечень консультационных Услуг входит: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  <w:t xml:space="preserve">- подбор оборудования для маркировки сырья и готовой продукции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 xml:space="preserve">- настройка программного обеспечения и порядка доступа Заказчика к программному обеспечению по маркировке сырья и готовой продукции;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  <w:t xml:space="preserve">- удаленная поддержка Заказчика (сотрудников Заказчика) по порядку пользования программным обеспечением по маркировке сырья и готовой продукции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 xml:space="preserve">- обновление и систематизация баз данных сырья и готовой продукции</w:t>
      </w:r>
    </w:p>
    <w:p w:rsidR="00000000" w:rsidDel="00000000" w:rsidP="00000000" w:rsidRDefault="00000000" w:rsidRPr="00000000" w14:paraId="0000000E">
      <w:pPr>
        <w:ind w:firstLine="708"/>
        <w:jc w:val="both"/>
        <w:rPr/>
      </w:pPr>
      <w:r w:rsidDel="00000000" w:rsidR="00000000" w:rsidRPr="00000000">
        <w:rPr>
          <w:rtl w:val="0"/>
        </w:rPr>
        <w:t xml:space="preserve">2. ПРАВА И ОБЯЗАННОСТИ СТОРОН</w:t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  <w:t xml:space="preserve">2.1. Исполнитель обязуется предоставить следующие Услуги: 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  <w:t xml:space="preserve">2.1.1. в течение 30 календарных дней с даты подписания Договора (Подготовительный период): </w:t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  <w:t xml:space="preserve">- осуществить подбор оборудования, удовлетворяющего техническим требованиям программного обеспечения по маркировке сырья и готовой продукции, а именно планшет (далее – Согласованное устройство) и термопринтер с указанием стоимости оборудования и вспомогательных материалов, необходимых для функционирования такого оборудования;</w:t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  <w:t xml:space="preserve">- осуществить установку программного обеспечения по маркировке сырья и готовой продукции на Согласованное устройство Заказчика и осуществить на месте нахождения Заказчика подключение Согласованного устройства к сети интернет по системе вайфай или юсб с проверкой работоспособности программного обеспечения по маркировке сырья и готовой продукции;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  <w:t xml:space="preserve">- обеспечить демонстрационный доступ к программному обеспечению;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  <w:t xml:space="preserve">2.1.2. По истечению 30 календарных дней с даты подписания Договора и до окончания срока действия договора (Период оказания услуг):</w:t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  <w:t xml:space="preserve">- обеспечивать техническое сопровождение Заказчика при использовании Согласованного устройства и иного сопряженного оборудования;</w:t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  <w:t xml:space="preserve">- обеспечивать доступ Заказчика через Согласованное устройство к базам данных по маркировке сырья и готовой продукции </w:t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  <w:t xml:space="preserve">- решать возникающие неисправности при работе Согласованного устройства с программным обеспечением и базами данных по маркировке сырья и готовой продукции;</w:t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  <w:t xml:space="preserve">- осуществлять регулярное обучение линейного персонала Заказчика пользованию программным обеспечением по маркировке сырья и готовой продукции на Согласованном устройстве;</w:t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  <w:t xml:space="preserve">- при необходимости обучать управляющий персонал Заказчика внесению изменений (внесению новых позиций и сроков) с использованием программного обеспечения по маркировке сырья и готовой продукции;</w:t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  <w:t xml:space="preserve">- осуществлять иную техническую поддержку Заказчика в течение всего срока действия договора в рамках работы и пользования программным обеспечением по маркировке сырья и готовой продукции.</w:t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  <w:t xml:space="preserve">2.2. Заказчик обязуется: </w:t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  <w:t xml:space="preserve">2.2.1. Своевременно оплачивать Услуги Исполнителя согласно пп. 3.2. и 3.3.</w:t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  <w:t xml:space="preserve">2.2.2. Не передавать без согласия Исполнителя третьим лицам Согласованное устройство и пользовательские данные Заказчика, обеспечивающие доступ к программному обеспечению по маркировке сырья и готовой продукции;</w:t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  <w:t xml:space="preserve">2.2.3. Использовать настроенный Исполнителем доступ к программному обеспечению по маркировке сырья и готовой продукции только на Согласованном устройстве: марка Samsung, модель Galaxy tab a9. При попытке использования Заказчиком настроенного Исполнителем доступа к программному обеспечению на нескольких устройствах, настройки доступа могут быть заблокированы, денежные средства за оплаченный Заказчиком период оказания услуг возврату не подлежат.</w:t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  <w:t xml:space="preserve">2.2.5. Менять оборудование и Согласованное устройство только с предварительного письменного согласия Исполнителя и только с привлечением Исполнителя для переустановки программного обеспечения и настройки доступа.</w:t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  <w:t xml:space="preserve">2.2.6. Содействовать Исполнителю в установке обновлений программного обеспечения по маркировке сырья и готовой продукции</w:t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  <w:t xml:space="preserve">2.3. Исполнитель имеет право:</w:t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  <w:t xml:space="preserve">- инициировать замену Согласованного устройства в случае необходимости;</w:t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  <w:t xml:space="preserve">- ограничивать установку на согласованное устройство другого программного обеспечения кроме программного обеспечения по маркировке сырья и готовой продукции.</w:t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rtl w:val="0"/>
        </w:rPr>
        <w:t xml:space="preserve">2.4. Заказчик имеет право:</w:t>
      </w:r>
    </w:p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>
          <w:rtl w:val="0"/>
        </w:rPr>
        <w:t xml:space="preserve">- инициировать замену Согласованного устройства в случае необходимости;</w:t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rtl w:val="0"/>
        </w:rPr>
        <w:t xml:space="preserve">- запрашивать у Исполнителя расширение списка доступных для маркировки позиций сырья и готовой продукции путем предоставления своего перечня товаров с указанием срока годности таких товаров.</w:t>
      </w:r>
    </w:p>
    <w:p w:rsidR="00000000" w:rsidDel="00000000" w:rsidP="00000000" w:rsidRDefault="00000000" w:rsidRPr="00000000" w14:paraId="00000027">
      <w:pPr>
        <w:ind w:firstLine="708"/>
        <w:jc w:val="both"/>
        <w:rPr/>
      </w:pPr>
      <w:r w:rsidDel="00000000" w:rsidR="00000000" w:rsidRPr="00000000">
        <w:rPr>
          <w:rtl w:val="0"/>
        </w:rPr>
        <w:t xml:space="preserve">3. СТОИМОСТЬ И ПОРЯДОК ОПЛАТЫ</w:t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rtl w:val="0"/>
        </w:rPr>
        <w:t xml:space="preserve">3.1. Началом оказания Услуг по настоящему договору стороны установили {{start_date}} после истечения Подготовительного периода 30 дней и начала Периода оказания Услуг. </w:t>
      </w:r>
    </w:p>
    <w:p w:rsidR="00000000" w:rsidDel="00000000" w:rsidP="00000000" w:rsidRDefault="00000000" w:rsidRPr="00000000" w14:paraId="00000029">
      <w:pPr>
        <w:jc w:val="both"/>
        <w:rPr/>
      </w:pPr>
      <w:r w:rsidDel="00000000" w:rsidR="00000000" w:rsidRPr="00000000">
        <w:rPr>
          <w:rtl w:val="0"/>
        </w:rPr>
        <w:t xml:space="preserve">3.2. Стоимость Услуг исполнителя в Период оказания услуг составляет 3 500,00 (Три тысячи пятьсот) рублей 00 копеек (НДС не облагается) в месяц.</w:t>
      </w:r>
    </w:p>
    <w:p w:rsidR="00000000" w:rsidDel="00000000" w:rsidP="00000000" w:rsidRDefault="00000000" w:rsidRPr="00000000" w14:paraId="0000002A">
      <w:pPr>
        <w:jc w:val="both"/>
        <w:rPr/>
      </w:pPr>
      <w:r w:rsidDel="00000000" w:rsidR="00000000" w:rsidRPr="00000000">
        <w:rPr>
          <w:rtl w:val="0"/>
        </w:rPr>
        <w:t xml:space="preserve">3.3. Оплата производится не позднее 5 числа каждого месяца Периода оказания услуг путем перечисления денежных средств на расчетный счет Исполнителя, указанный в настоящем договоре. </w:t>
      </w:r>
    </w:p>
    <w:p w:rsidR="00000000" w:rsidDel="00000000" w:rsidP="00000000" w:rsidRDefault="00000000" w:rsidRPr="00000000" w14:paraId="0000002B">
      <w:pPr>
        <w:jc w:val="both"/>
        <w:rPr/>
      </w:pPr>
      <w:r w:rsidDel="00000000" w:rsidR="00000000" w:rsidRPr="00000000">
        <w:rPr>
          <w:rtl w:val="0"/>
        </w:rPr>
        <w:t xml:space="preserve">3.4. Датой оплаты считается дата поступления денежных средств на расчетный счет Исполнителя.</w:t>
      </w:r>
    </w:p>
    <w:p w:rsidR="00000000" w:rsidDel="00000000" w:rsidP="00000000" w:rsidRDefault="00000000" w:rsidRPr="00000000" w14:paraId="0000002C">
      <w:pPr>
        <w:jc w:val="both"/>
        <w:rPr/>
      </w:pPr>
      <w:r w:rsidDel="00000000" w:rsidR="00000000" w:rsidRPr="00000000">
        <w:rPr>
          <w:rtl w:val="0"/>
        </w:rPr>
        <w:t xml:space="preserve">3.5. В случае несвоевременной оплаты Услуги технического сопровождения использования программного обеспечения могут быть приостановлены.</w:t>
      </w:r>
    </w:p>
    <w:p w:rsidR="00000000" w:rsidDel="00000000" w:rsidP="00000000" w:rsidRDefault="00000000" w:rsidRPr="00000000" w14:paraId="0000002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firstLine="708"/>
        <w:jc w:val="both"/>
        <w:rPr/>
      </w:pPr>
      <w:r w:rsidDel="00000000" w:rsidR="00000000" w:rsidRPr="00000000">
        <w:rPr>
          <w:rtl w:val="0"/>
        </w:rPr>
        <w:t xml:space="preserve">4. СРОК ДЕЙСТВИЯ ДОГОВОРА</w:t>
      </w:r>
    </w:p>
    <w:p w:rsidR="00000000" w:rsidDel="00000000" w:rsidP="00000000" w:rsidRDefault="00000000" w:rsidRPr="00000000" w14:paraId="0000002F">
      <w:pPr>
        <w:jc w:val="both"/>
        <w:rPr/>
      </w:pPr>
      <w:r w:rsidDel="00000000" w:rsidR="00000000" w:rsidRPr="00000000">
        <w:rPr>
          <w:rtl w:val="0"/>
        </w:rPr>
        <w:t xml:space="preserve">4.1. Договор вступает в силу с момента его подписания обеими Сторонами и действует до момента его расторжения.</w:t>
      </w:r>
    </w:p>
    <w:p w:rsidR="00000000" w:rsidDel="00000000" w:rsidP="00000000" w:rsidRDefault="00000000" w:rsidRPr="00000000" w14:paraId="00000030">
      <w:pPr>
        <w:jc w:val="both"/>
        <w:rPr/>
      </w:pPr>
      <w:r w:rsidDel="00000000" w:rsidR="00000000" w:rsidRPr="00000000">
        <w:rPr>
          <w:rtl w:val="0"/>
        </w:rPr>
        <w:t xml:space="preserve">4.2. Договор может быть расторгнут по инициативе любой из Сторон с уведомлением за 30 календарных дней до даты расторжения.</w:t>
      </w:r>
    </w:p>
    <w:p w:rsidR="00000000" w:rsidDel="00000000" w:rsidP="00000000" w:rsidRDefault="00000000" w:rsidRPr="00000000" w14:paraId="00000031">
      <w:pPr>
        <w:ind w:firstLine="708"/>
        <w:jc w:val="both"/>
        <w:rPr/>
      </w:pPr>
      <w:r w:rsidDel="00000000" w:rsidR="00000000" w:rsidRPr="00000000">
        <w:rPr>
          <w:rtl w:val="0"/>
        </w:rPr>
        <w:t xml:space="preserve">5. ОТВЕТСТВЕННОСТЬ СТОРОН</w:t>
      </w:r>
    </w:p>
    <w:p w:rsidR="00000000" w:rsidDel="00000000" w:rsidP="00000000" w:rsidRDefault="00000000" w:rsidRPr="00000000" w14:paraId="00000032">
      <w:pPr>
        <w:jc w:val="both"/>
        <w:rPr/>
      </w:pPr>
      <w:r w:rsidDel="00000000" w:rsidR="00000000" w:rsidRPr="00000000">
        <w:rPr>
          <w:rtl w:val="0"/>
        </w:rPr>
        <w:t xml:space="preserve">5.1. Стороны несут ответственность за неисполнение или ненадлежащее исполнение обязательств по договору в соответствии с законодательством РФ.</w:t>
      </w:r>
    </w:p>
    <w:p w:rsidR="00000000" w:rsidDel="00000000" w:rsidP="00000000" w:rsidRDefault="00000000" w:rsidRPr="00000000" w14:paraId="00000033">
      <w:pPr>
        <w:jc w:val="both"/>
        <w:rPr/>
      </w:pPr>
      <w:r w:rsidDel="00000000" w:rsidR="00000000" w:rsidRPr="00000000">
        <w:rPr>
          <w:rtl w:val="0"/>
        </w:rPr>
        <w:t xml:space="preserve">5.2. Исполнитель не несет ответственности за невозможность использования Заказчиком программного обеспечения из-за отсутствия у Заказчика доступа к интернету по вине третьих лиц, в том числе провайдеров и технических ограничений сети Заказчика, а также ввиду технической неисправности Согласованного устройства или сопряженного оборудования. При этом стороны обязуются предпринять взаимные согласованные действия по скорейшему решению таких технических неисправностей, в том числе с заменой Согласованного устройства или иного оборудования</w:t>
      </w:r>
    </w:p>
    <w:p w:rsidR="00000000" w:rsidDel="00000000" w:rsidP="00000000" w:rsidRDefault="00000000" w:rsidRPr="00000000" w14:paraId="00000034">
      <w:pPr>
        <w:jc w:val="both"/>
        <w:rPr/>
      </w:pPr>
      <w:r w:rsidDel="00000000" w:rsidR="00000000" w:rsidRPr="00000000">
        <w:rPr>
          <w:rtl w:val="0"/>
        </w:rPr>
        <w:t xml:space="preserve">5.3. Услуга технического сопровождения Заказчика Исполнителем может выполняться Исполнителем только в случае постоянного (регулярного) подключения Заказчика к сети интернет. При отсутствии доступа к сети работоспособность и техническая поддержка программного обеспечения гарантируется только в течение 6 (шести) суток.</w:t>
      </w:r>
    </w:p>
    <w:p w:rsidR="00000000" w:rsidDel="00000000" w:rsidP="00000000" w:rsidRDefault="00000000" w:rsidRPr="00000000" w14:paraId="00000035">
      <w:pPr>
        <w:jc w:val="both"/>
        <w:rPr/>
      </w:pPr>
      <w:r w:rsidDel="00000000" w:rsidR="00000000" w:rsidRPr="00000000">
        <w:rPr>
          <w:rtl w:val="0"/>
        </w:rPr>
        <w:t xml:space="preserve">5.4. Предоставляемые в рамках настоящего договора информационно-техническое консультирование, поддержка и данные по доступу к программному обеспечению являются конфиденциальной информацией. </w:t>
      </w:r>
    </w:p>
    <w:p w:rsidR="00000000" w:rsidDel="00000000" w:rsidP="00000000" w:rsidRDefault="00000000" w:rsidRPr="00000000" w14:paraId="00000036">
      <w:pPr>
        <w:ind w:firstLine="708"/>
        <w:jc w:val="both"/>
        <w:rPr/>
      </w:pPr>
      <w:r w:rsidDel="00000000" w:rsidR="00000000" w:rsidRPr="00000000">
        <w:rPr>
          <w:rtl w:val="0"/>
        </w:rPr>
        <w:t xml:space="preserve">6. ПРОЧИЕ УСЛОВИЯ</w:t>
      </w:r>
    </w:p>
    <w:p w:rsidR="00000000" w:rsidDel="00000000" w:rsidP="00000000" w:rsidRDefault="00000000" w:rsidRPr="00000000" w14:paraId="00000037">
      <w:pPr>
        <w:jc w:val="both"/>
        <w:rPr/>
      </w:pPr>
      <w:r w:rsidDel="00000000" w:rsidR="00000000" w:rsidRPr="00000000">
        <w:rPr>
          <w:rtl w:val="0"/>
        </w:rPr>
        <w:t xml:space="preserve">6.1. Все споры, возникающие в рамках настоящего договора, разрешаются путем переговоров, а в случае недостижения соглашения — в судебном порядке по месту нахождения Исполнителя.</w:t>
      </w:r>
    </w:p>
    <w:p w:rsidR="00000000" w:rsidDel="00000000" w:rsidP="00000000" w:rsidRDefault="00000000" w:rsidRPr="00000000" w14:paraId="00000038">
      <w:pPr>
        <w:jc w:val="both"/>
        <w:rPr/>
      </w:pPr>
      <w:r w:rsidDel="00000000" w:rsidR="00000000" w:rsidRPr="00000000">
        <w:rPr>
          <w:rtl w:val="0"/>
        </w:rPr>
        <w:t xml:space="preserve">6.2. Все изменения и дополнения к договору действительны только при наличии письменного согласия обеих Сторон.</w:t>
      </w:r>
    </w:p>
    <w:p w:rsidR="00000000" w:rsidDel="00000000" w:rsidP="00000000" w:rsidRDefault="00000000" w:rsidRPr="00000000" w14:paraId="00000039">
      <w:pPr>
        <w:jc w:val="both"/>
        <w:rPr/>
      </w:pPr>
      <w:r w:rsidDel="00000000" w:rsidR="00000000" w:rsidRPr="00000000">
        <w:rPr>
          <w:rtl w:val="0"/>
        </w:rPr>
        <w:t xml:space="preserve">6.3. Приложения к договору являются его неотъемлемой частью.</w:t>
      </w:r>
    </w:p>
    <w:p w:rsidR="00000000" w:rsidDel="00000000" w:rsidP="00000000" w:rsidRDefault="00000000" w:rsidRPr="00000000" w14:paraId="0000003A">
      <w:pPr>
        <w:jc w:val="both"/>
        <w:rPr/>
      </w:pPr>
      <w:r w:rsidDel="00000000" w:rsidR="00000000" w:rsidRPr="00000000">
        <w:rPr>
          <w:rtl w:val="0"/>
        </w:rPr>
        <w:t xml:space="preserve">6.4 Настоящий Договор, дополнения и приложения к нему могут быть переданы Сторонами по факсимильной связи по указанным в реквизитах сторон номерам и адресам электронной почты. Настоящий Договор и связанные с ним документы, переданные по факсимильной связи или электронной почте, имеют для Сторон полную юридическую силу до оригиналов соответствующих документов.</w:t>
      </w:r>
    </w:p>
    <w:p w:rsidR="00000000" w:rsidDel="00000000" w:rsidP="00000000" w:rsidRDefault="00000000" w:rsidRPr="00000000" w14:paraId="0000003B">
      <w:pPr>
        <w:ind w:firstLine="708"/>
        <w:jc w:val="both"/>
        <w:rPr/>
      </w:pPr>
      <w:r w:rsidDel="00000000" w:rsidR="00000000" w:rsidRPr="00000000">
        <w:rPr>
          <w:rtl w:val="0"/>
        </w:rPr>
        <w:t xml:space="preserve">7. РЕКВИЗИТЫ СТОРОН</w:t>
      </w:r>
    </w:p>
    <w:p w:rsidR="00000000" w:rsidDel="00000000" w:rsidP="00000000" w:rsidRDefault="00000000" w:rsidRPr="00000000" w14:paraId="0000003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4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2"/>
        <w:gridCol w:w="4673"/>
        <w:tblGridChange w:id="0">
          <w:tblGrid>
            <w:gridCol w:w="4672"/>
            <w:gridCol w:w="4673"/>
          </w:tblGrid>
        </w:tblGridChange>
      </w:tblGrid>
      <w:tr>
        <w:trPr>
          <w:cantSplit w:val="0"/>
          <w:tblHeader w:val="0"/>
        </w:trPr>
        <w:tc>
          <w:tcPr/>
          <w:p>
            <w:r>
              <w:t>ИСПОЛНИТЕЛЬ:</w:t>
              <w:br/>
              <w:br/>
              <w:t>Индивидуальный предприниматель Александров Максим Васильевич</w:t>
              <w:br/>
              <w:t>ИНН: 780524585389</w:t>
              <w:br/>
              <w:t>ОГРНИП: 325784700075175</w:t>
              <w:br/>
              <w:t>Расчётный счёт: 40802 810 1 5571 0013354</w:t>
              <w:br/>
              <w:t>Банк: {{customer_bank}}</w:t>
              <w:br/>
              <w:t>БИК: {{customer_bik}}</w:t>
              <w:br/>
              <w:t>Корсчёт: {{customer_kors}}</w:t>
              <w:br/>
              <w:t>ИНН банка: {{bank_inn}}</w:t>
              <w:br/>
              <w:t>КПП банка: {{bank_kpp}}</w:t>
              <w:br/>
              <w:br/>
              <w:br/>
              <w:br/>
              <w:t>______________________ /Александров М.В.</w:t>
              <w:br/>
            </w:r>
          </w:p>
        </w:tc>
        <w:tc>
          <w:tcPr/>
          <w:p>
            <w:r>
              <w:t>ЗАКАЗЧИК:</w:t>
              <w:br/>
              <w:br/>
              <w:t>Индивидуальный предприниматель</w:t>
              <w:br/>
              <w:t xml:space="preserve">{{customer_name}} </w:t>
              <w:br/>
              <w:t>ИНН {{customer_inn}}</w:t>
              <w:br/>
              <w:t>ОГРНИП {{customer_ogrnip}}</w:t>
              <w:br/>
              <w:t>Расчётный счёт: {{customer_rs}}</w:t>
              <w:br/>
              <w:t>Банк: {{customer_bank}}</w:t>
              <w:br/>
              <w:t>БИК: {{customer_bik}}</w:t>
              <w:br/>
              <w:t>Корсчёт: {{customer_kors}}</w:t>
              <w:br/>
              <w:t>ИНН банка: {{bank_inn}}</w:t>
              <w:br/>
              <w:t>КПП банка: {{bank_kpp}}</w:t>
              <w:br/>
              <w:br/>
              <w:br/>
              <w:br/>
              <w:t xml:space="preserve">______________________ / Кохановская И.В. </w:t>
              <w:br/>
            </w:r>
          </w:p>
        </w:tc>
      </w:tr>
    </w:tbl>
    <w:p w:rsidR="00000000" w:rsidDel="00000000" w:rsidP="00000000" w:rsidRDefault="00000000" w:rsidRPr="00000000" w14:paraId="0000005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both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7">
    <w:name w:val="heading 7"/>
    <w:basedOn w:val="a"/>
    <w:next w:val="a"/>
    <w:link w:val="70"/>
    <w:uiPriority w:val="9"/>
    <w:semiHidden w:val="1"/>
    <w:unhideWhenUsed w:val="1"/>
    <w:qFormat w:val="1"/>
    <w:rsid w:val="001D4980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8">
    <w:name w:val="heading 8"/>
    <w:basedOn w:val="a"/>
    <w:next w:val="a"/>
    <w:link w:val="80"/>
    <w:uiPriority w:val="9"/>
    <w:semiHidden w:val="1"/>
    <w:unhideWhenUsed w:val="1"/>
    <w:qFormat w:val="1"/>
    <w:rsid w:val="001D4980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9">
    <w:name w:val="heading 9"/>
    <w:basedOn w:val="a"/>
    <w:next w:val="a"/>
    <w:link w:val="90"/>
    <w:uiPriority w:val="9"/>
    <w:semiHidden w:val="1"/>
    <w:unhideWhenUsed w:val="1"/>
    <w:qFormat w:val="1"/>
    <w:rsid w:val="001D4980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a0" w:default="1">
    <w:name w:val="Default Paragraph Font"/>
    <w:uiPriority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10" w:customStyle="1">
    <w:name w:val="Заголовок 1 Знак"/>
    <w:basedOn w:val="a0"/>
    <w:link w:val="1"/>
    <w:uiPriority w:val="9"/>
    <w:rsid w:val="001D4980"/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character" w:styleId="20" w:customStyle="1">
    <w:name w:val="Заголовок 2 Знак"/>
    <w:basedOn w:val="a0"/>
    <w:link w:val="2"/>
    <w:uiPriority w:val="9"/>
    <w:semiHidden w:val="1"/>
    <w:rsid w:val="001D4980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30" w:customStyle="1">
    <w:name w:val="Заголовок 3 Знак"/>
    <w:basedOn w:val="a0"/>
    <w:link w:val="3"/>
    <w:uiPriority w:val="9"/>
    <w:semiHidden w:val="1"/>
    <w:rsid w:val="001D4980"/>
    <w:rPr>
      <w:rFonts w:cstheme="majorBidi" w:eastAsiaTheme="majorEastAsia"/>
      <w:color w:val="2f5496" w:themeColor="accent1" w:themeShade="0000BF"/>
      <w:sz w:val="28"/>
      <w:szCs w:val="28"/>
    </w:rPr>
  </w:style>
  <w:style w:type="character" w:styleId="40" w:customStyle="1">
    <w:name w:val="Заголовок 4 Знак"/>
    <w:basedOn w:val="a0"/>
    <w:link w:val="4"/>
    <w:uiPriority w:val="9"/>
    <w:semiHidden w:val="1"/>
    <w:rsid w:val="001D4980"/>
    <w:rPr>
      <w:rFonts w:cstheme="majorBidi" w:eastAsiaTheme="majorEastAsia"/>
      <w:i w:val="1"/>
      <w:iCs w:val="1"/>
      <w:color w:val="2f5496" w:themeColor="accent1" w:themeShade="0000BF"/>
    </w:rPr>
  </w:style>
  <w:style w:type="character" w:styleId="50" w:customStyle="1">
    <w:name w:val="Заголовок 5 Знак"/>
    <w:basedOn w:val="a0"/>
    <w:link w:val="5"/>
    <w:uiPriority w:val="9"/>
    <w:semiHidden w:val="1"/>
    <w:rsid w:val="001D4980"/>
    <w:rPr>
      <w:rFonts w:cstheme="majorBidi" w:eastAsiaTheme="majorEastAsia"/>
      <w:color w:val="2f5496" w:themeColor="accent1" w:themeShade="0000BF"/>
    </w:rPr>
  </w:style>
  <w:style w:type="character" w:styleId="60" w:customStyle="1">
    <w:name w:val="Заголовок 6 Знак"/>
    <w:basedOn w:val="a0"/>
    <w:link w:val="6"/>
    <w:uiPriority w:val="9"/>
    <w:semiHidden w:val="1"/>
    <w:rsid w:val="001D4980"/>
    <w:rPr>
      <w:rFonts w:cstheme="majorBidi" w:eastAsiaTheme="majorEastAsia"/>
      <w:i w:val="1"/>
      <w:iCs w:val="1"/>
      <w:color w:val="595959" w:themeColor="text1" w:themeTint="0000A6"/>
    </w:rPr>
  </w:style>
  <w:style w:type="character" w:styleId="70" w:customStyle="1">
    <w:name w:val="Заголовок 7 Знак"/>
    <w:basedOn w:val="a0"/>
    <w:link w:val="7"/>
    <w:uiPriority w:val="9"/>
    <w:semiHidden w:val="1"/>
    <w:rsid w:val="001D4980"/>
    <w:rPr>
      <w:rFonts w:cstheme="majorBidi" w:eastAsiaTheme="majorEastAsia"/>
      <w:color w:val="595959" w:themeColor="text1" w:themeTint="0000A6"/>
    </w:rPr>
  </w:style>
  <w:style w:type="character" w:styleId="80" w:customStyle="1">
    <w:name w:val="Заголовок 8 Знак"/>
    <w:basedOn w:val="a0"/>
    <w:link w:val="8"/>
    <w:uiPriority w:val="9"/>
    <w:semiHidden w:val="1"/>
    <w:rsid w:val="001D4980"/>
    <w:rPr>
      <w:rFonts w:cstheme="majorBidi" w:eastAsiaTheme="majorEastAsia"/>
      <w:i w:val="1"/>
      <w:iCs w:val="1"/>
      <w:color w:val="272727" w:themeColor="text1" w:themeTint="0000D8"/>
    </w:rPr>
  </w:style>
  <w:style w:type="character" w:styleId="90" w:customStyle="1">
    <w:name w:val="Заголовок 9 Знак"/>
    <w:basedOn w:val="a0"/>
    <w:link w:val="9"/>
    <w:uiPriority w:val="9"/>
    <w:semiHidden w:val="1"/>
    <w:rsid w:val="001D4980"/>
    <w:rPr>
      <w:rFonts w:cstheme="majorBidi" w:eastAsiaTheme="majorEastAsia"/>
      <w:color w:val="272727" w:themeColor="text1" w:themeTint="0000D8"/>
    </w:rPr>
  </w:style>
  <w:style w:type="character" w:styleId="a4" w:customStyle="1">
    <w:name w:val="Заголовок Знак"/>
    <w:basedOn w:val="a0"/>
    <w:link w:val="a3"/>
    <w:uiPriority w:val="10"/>
    <w:rsid w:val="001D498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a6" w:customStyle="1">
    <w:name w:val="Подзаголовок Знак"/>
    <w:basedOn w:val="a0"/>
    <w:link w:val="a5"/>
    <w:uiPriority w:val="11"/>
    <w:rsid w:val="001D4980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 w:val="1"/>
    <w:rsid w:val="001D4980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22" w:customStyle="1">
    <w:name w:val="Цитата 2 Знак"/>
    <w:basedOn w:val="a0"/>
    <w:link w:val="21"/>
    <w:uiPriority w:val="29"/>
    <w:rsid w:val="001D4980"/>
    <w:rPr>
      <w:i w:val="1"/>
      <w:iCs w:val="1"/>
      <w:color w:val="404040" w:themeColor="text1" w:themeTint="0000BF"/>
    </w:rPr>
  </w:style>
  <w:style w:type="paragraph" w:styleId="a7">
    <w:name w:val="List Paragraph"/>
    <w:basedOn w:val="a"/>
    <w:uiPriority w:val="34"/>
    <w:qFormat w:val="1"/>
    <w:rsid w:val="001D4980"/>
    <w:pPr>
      <w:ind w:left="720"/>
      <w:contextualSpacing w:val="1"/>
    </w:pPr>
  </w:style>
  <w:style w:type="character" w:styleId="a8">
    <w:name w:val="Intense Emphasis"/>
    <w:basedOn w:val="a0"/>
    <w:uiPriority w:val="21"/>
    <w:qFormat w:val="1"/>
    <w:rsid w:val="001D4980"/>
    <w:rPr>
      <w:i w:val="1"/>
      <w:iCs w:val="1"/>
      <w:color w:val="2f5496" w:themeColor="accent1" w:themeShade="0000BF"/>
    </w:rPr>
  </w:style>
  <w:style w:type="paragraph" w:styleId="a9">
    <w:name w:val="Intense Quote"/>
    <w:basedOn w:val="a"/>
    <w:next w:val="a"/>
    <w:link w:val="aa"/>
    <w:uiPriority w:val="30"/>
    <w:qFormat w:val="1"/>
    <w:rsid w:val="001D4980"/>
    <w:pPr>
      <w:pBdr>
        <w:top w:color="2f5496" w:space="10" w:sz="4" w:themeColor="accent1" w:themeShade="0000BF" w:val="single"/>
        <w:bottom w:color="2f5496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2f5496" w:themeColor="accent1" w:themeShade="0000BF"/>
    </w:rPr>
  </w:style>
  <w:style w:type="character" w:styleId="aa" w:customStyle="1">
    <w:name w:val="Выделенная цитата Знак"/>
    <w:basedOn w:val="a0"/>
    <w:link w:val="a9"/>
    <w:uiPriority w:val="30"/>
    <w:rsid w:val="001D4980"/>
    <w:rPr>
      <w:i w:val="1"/>
      <w:iCs w:val="1"/>
      <w:color w:val="2f5496" w:themeColor="accent1" w:themeShade="0000BF"/>
    </w:rPr>
  </w:style>
  <w:style w:type="character" w:styleId="ab">
    <w:name w:val="Intense Reference"/>
    <w:basedOn w:val="a0"/>
    <w:uiPriority w:val="32"/>
    <w:qFormat w:val="1"/>
    <w:rsid w:val="001D4980"/>
    <w:rPr>
      <w:b w:val="1"/>
      <w:bCs w:val="1"/>
      <w:smallCaps w:val="1"/>
      <w:color w:val="2f5496" w:themeColor="accent1" w:themeShade="0000BF"/>
      <w:spacing w:val="5"/>
    </w:rPr>
  </w:style>
  <w:style w:type="table" w:styleId="ac">
    <w:name w:val="Table Grid"/>
    <w:basedOn w:val="a1"/>
    <w:uiPriority w:val="39"/>
    <w:rsid w:val="006661F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XTKH5pecwuEjZFhisF+sol4eLPQ==">CgMxLjA4AHIhMWcyZHBwRjkzTU5EUjNjZUVSYUZUcEJfTGZsLW5yY2Vs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2025-08-30T09:04:00Z</dcterms:created>
  <dc:creator>User</dc:creator>
</cp:coreProperties>
</file>