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169D1A">
      <w:pPr>
        <w:jc w:val="center"/>
        <w:rPr>
          <w:rFonts w:eastAsia="黑体"/>
          <w:b/>
          <w:kern w:val="0"/>
          <w:sz w:val="84"/>
          <w:szCs w:val="84"/>
        </w:rPr>
      </w:pPr>
    </w:p>
    <w:p w14:paraId="0336A587">
      <w:pPr>
        <w:jc w:val="center"/>
        <w:rPr>
          <w:rFonts w:eastAsia="黑体"/>
          <w:b/>
          <w:kern w:val="0"/>
          <w:sz w:val="84"/>
          <w:szCs w:val="84"/>
        </w:rPr>
      </w:pPr>
    </w:p>
    <w:p w14:paraId="0C8C8785">
      <w:pPr>
        <w:jc w:val="center"/>
        <w:rPr>
          <w:rFonts w:eastAsia="黑体"/>
          <w:b/>
          <w:kern w:val="0"/>
          <w:sz w:val="84"/>
          <w:szCs w:val="84"/>
        </w:rPr>
      </w:pPr>
    </w:p>
    <w:p w14:paraId="215E6D58">
      <w:pPr>
        <w:jc w:val="center"/>
        <w:rPr>
          <w:rFonts w:eastAsia="黑体"/>
          <w:b/>
          <w:kern w:val="0"/>
          <w:sz w:val="84"/>
          <w:szCs w:val="84"/>
        </w:rPr>
      </w:pPr>
    </w:p>
    <w:p w14:paraId="2433FC9A">
      <w:pPr>
        <w:jc w:val="center"/>
        <w:rPr>
          <w:rFonts w:eastAsia="黑体"/>
          <w:b/>
          <w:kern w:val="0"/>
          <w:sz w:val="52"/>
          <w:szCs w:val="84"/>
        </w:rPr>
      </w:pPr>
      <w:r>
        <w:rPr>
          <w:rFonts w:eastAsia="黑体"/>
          <w:b/>
          <w:kern w:val="0"/>
          <w:sz w:val="52"/>
          <w:szCs w:val="84"/>
        </w:rPr>
        <w:t>自由票业务合同</w:t>
      </w:r>
    </w:p>
    <w:p w14:paraId="4978E06B">
      <w:pPr>
        <w:widowControl/>
        <w:jc w:val="left"/>
        <w:rPr>
          <w:rFonts w:eastAsia="黑体"/>
          <w:kern w:val="0"/>
          <w:sz w:val="28"/>
          <w:szCs w:val="28"/>
        </w:rPr>
      </w:pPr>
      <w:r>
        <w:rPr>
          <w:rFonts w:eastAsia="黑体"/>
          <w:kern w:val="0"/>
          <w:sz w:val="28"/>
          <w:szCs w:val="28"/>
        </w:rPr>
        <w:br w:type="page"/>
      </w:r>
    </w:p>
    <w:p w14:paraId="7615190F">
      <w:pPr>
        <w:jc w:val="center"/>
        <w:rPr>
          <w:b/>
          <w:bCs/>
          <w:kern w:val="0"/>
          <w:sz w:val="36"/>
          <w:szCs w:val="36"/>
        </w:rPr>
      </w:pPr>
      <w:r>
        <w:rPr>
          <w:b/>
          <w:bCs/>
          <w:kern w:val="0"/>
          <w:sz w:val="36"/>
          <w:szCs w:val="36"/>
        </w:rPr>
        <w:t>自由票业务合同</w:t>
      </w:r>
    </w:p>
    <w:p w14:paraId="2DE79021">
      <w:pPr>
        <w:snapToGrid w:val="0"/>
        <w:spacing w:line="360" w:lineRule="exact"/>
        <w:ind w:firstLine="1680"/>
        <w:jc w:val="right"/>
        <w:rPr>
          <w:kern w:val="0"/>
        </w:rPr>
      </w:pPr>
    </w:p>
    <w:p w14:paraId="6FC396FC">
      <w:pPr>
        <w:spacing w:line="360" w:lineRule="exact"/>
        <w:ind w:right="126" w:rightChars="0" w:firstLine="1050" w:firstLineChars="500"/>
        <w:jc w:val="right"/>
        <w:rPr>
          <w:rFonts w:hint="default" w:eastAsia="宋体"/>
          <w:lang w:val="en-US" w:eastAsia="zh-CN"/>
        </w:rPr>
      </w:pPr>
      <w:r>
        <w:rPr>
          <w:rFonts w:hint="eastAsia"/>
          <w:kern w:val="0"/>
          <w:szCs w:val="21"/>
          <w:lang w:val="en-US" w:eastAsia="zh-CN"/>
        </w:rPr>
        <w:t>合同编号：{</w:t>
      </w:r>
      <w:r>
        <w:rPr>
          <w:rFonts w:hint="eastAsia"/>
          <w:lang w:val="en-US" w:eastAsia="zh-CN"/>
        </w:rPr>
        <w:t>{自由票字4}}</w:t>
      </w:r>
    </w:p>
    <w:p w14:paraId="7FF643F6">
      <w:pPr>
        <w:spacing w:line="360" w:lineRule="exact"/>
        <w:ind w:right="106" w:rightChars="0" w:firstLine="1050" w:firstLineChars="500"/>
        <w:jc w:val="right"/>
        <w:rPr>
          <w:rFonts w:hint="eastAsia"/>
          <w:kern w:val="0"/>
          <w:szCs w:val="21"/>
          <w:lang w:val="en-US" w:eastAsia="zh-CN"/>
        </w:rPr>
      </w:pPr>
      <w:r>
        <w:rPr>
          <w:rFonts w:hint="eastAsia"/>
          <w:kern w:val="0"/>
          <w:szCs w:val="21"/>
          <w:lang w:val="en-US" w:eastAsia="zh-CN"/>
        </w:rPr>
        <w:t>综合授信额度合同名称：综合授信额度合同</w:t>
      </w:r>
    </w:p>
    <w:p w14:paraId="5E2DDC56">
      <w:pPr>
        <w:wordWrap w:val="0"/>
        <w:spacing w:line="360" w:lineRule="exact"/>
        <w:ind w:right="126" w:rightChars="60"/>
        <w:jc w:val="right"/>
        <w:rPr>
          <w:rFonts w:hint="default" w:eastAsia="宋体"/>
          <w:kern w:val="0"/>
          <w:szCs w:val="21"/>
          <w:lang w:val="en-US" w:eastAsia="zh-CN"/>
        </w:rPr>
      </w:pPr>
      <w:r>
        <w:rPr>
          <w:rFonts w:hint="eastAsia"/>
          <w:kern w:val="0"/>
          <w:szCs w:val="21"/>
          <w:lang w:val="en-US" w:eastAsia="zh-CN"/>
        </w:rPr>
        <w:t>额度合同编号：{</w:t>
      </w:r>
      <w:r>
        <w:rPr>
          <w:rFonts w:hint="eastAsia"/>
          <w:lang w:val="en-US" w:eastAsia="zh-CN"/>
        </w:rPr>
        <w:t>{综字1}}</w:t>
      </w:r>
    </w:p>
    <w:p w14:paraId="30C442E8">
      <w:pPr>
        <w:spacing w:line="360" w:lineRule="exact"/>
        <w:jc w:val="left"/>
        <w:rPr>
          <w:kern w:val="0"/>
          <w:szCs w:val="21"/>
        </w:rPr>
      </w:pPr>
    </w:p>
    <w:p w14:paraId="43EDFFBB">
      <w:pPr>
        <w:autoSpaceDE w:val="0"/>
        <w:autoSpaceDN w:val="0"/>
        <w:spacing w:line="360" w:lineRule="exact"/>
        <w:rPr>
          <w:rFonts w:hint="eastAsia" w:eastAsiaTheme="minorEastAsia"/>
          <w:sz w:val="21"/>
          <w:szCs w:val="21"/>
          <w:u w:val="single"/>
        </w:rPr>
      </w:pPr>
      <w:r>
        <w:rPr>
          <w:rFonts w:hint="eastAsia" w:asciiTheme="minorEastAsia" w:hAnsiTheme="minorEastAsia" w:eastAsiaTheme="minorEastAsia"/>
          <w:kern w:val="0"/>
          <w:sz w:val="21"/>
          <w:szCs w:val="21"/>
        </w:rPr>
        <w:t>甲方：</w:t>
      </w:r>
      <w:r>
        <w:rPr>
          <w:rFonts w:hint="eastAsia"/>
          <w:kern w:val="0"/>
          <w:szCs w:val="21"/>
        </w:rPr>
        <w:t>（</w:t>
      </w:r>
      <w:r>
        <w:rPr>
          <w:kern w:val="0"/>
          <w:szCs w:val="21"/>
        </w:rPr>
        <w:t>承兑人</w:t>
      </w:r>
      <w:r>
        <w:rPr>
          <w:rFonts w:hint="eastAsia"/>
          <w:kern w:val="0"/>
          <w:szCs w:val="21"/>
        </w:rPr>
        <w:t>）</w:t>
      </w:r>
      <w:r>
        <w:rPr>
          <w:rFonts w:hint="eastAsia" w:eastAsiaTheme="minorEastAsia"/>
          <w:sz w:val="21"/>
          <w:szCs w:val="21"/>
        </w:rPr>
        <w:t>平安银行股份有限公司</w:t>
      </w:r>
      <w:r>
        <w:rPr>
          <w:rFonts w:hint="eastAsia" w:eastAsiaTheme="minorEastAsia"/>
          <w:sz w:val="21"/>
          <w:szCs w:val="21"/>
          <w:u w:val="single"/>
          <w:lang w:val="en-US" w:eastAsia="zh-CN"/>
        </w:rPr>
        <w:t>{{所在分行}}</w:t>
      </w:r>
    </w:p>
    <w:p w14:paraId="334DC014">
      <w:pPr>
        <w:autoSpaceDE w:val="0"/>
        <w:autoSpaceDN w:val="0"/>
        <w:spacing w:line="360" w:lineRule="exact"/>
        <w:rPr>
          <w:rFonts w:hint="eastAsia" w:eastAsiaTheme="minorEastAsia"/>
          <w:sz w:val="21"/>
          <w:szCs w:val="21"/>
          <w:u w:val="single"/>
        </w:rPr>
      </w:pPr>
      <w:r>
        <w:rPr>
          <w:rFonts w:hint="eastAsia" w:eastAsiaTheme="minorEastAsia"/>
          <w:sz w:val="21"/>
          <w:szCs w:val="21"/>
        </w:rPr>
        <w:t>住所（地址）：</w:t>
      </w:r>
      <w:r>
        <w:rPr>
          <w:rFonts w:hint="eastAsia" w:ascii="Times New Roman" w:hAnsi="Times New Roman" w:cs="Times New Roman" w:eastAsiaTheme="minorEastAsia"/>
          <w:kern w:val="2"/>
          <w:sz w:val="21"/>
          <w:szCs w:val="21"/>
          <w:u w:val="single"/>
          <w:lang w:val="en-US" w:eastAsia="zh-CN" w:bidi="ar-SA"/>
        </w:rPr>
        <w:t>{{分行地址}}</w:t>
      </w:r>
    </w:p>
    <w:p w14:paraId="23AE92DC">
      <w:pPr>
        <w:spacing w:line="360" w:lineRule="exact"/>
        <w:jc w:val="left"/>
        <w:rPr>
          <w:rFonts w:hint="eastAsia" w:eastAsiaTheme="minorEastAsia"/>
          <w:sz w:val="21"/>
          <w:szCs w:val="21"/>
        </w:rPr>
      </w:pPr>
      <w:r>
        <w:rPr>
          <w:rFonts w:hint="eastAsia" w:eastAsiaTheme="minorEastAsia"/>
          <w:sz w:val="21"/>
          <w:szCs w:val="21"/>
        </w:rPr>
        <w:t>法定代表人（负责人）：</w:t>
      </w:r>
      <w:r>
        <w:rPr>
          <w:rFonts w:hint="eastAsia" w:ascii="Times New Roman" w:hAnsi="Times New Roman" w:cs="Times New Roman" w:eastAsiaTheme="minorEastAsia"/>
          <w:kern w:val="2"/>
          <w:sz w:val="21"/>
          <w:szCs w:val="21"/>
          <w:u w:val="single"/>
          <w:lang w:val="en-US" w:eastAsia="zh-CN" w:bidi="ar-SA"/>
        </w:rPr>
        <w:t>{{分行法人}}</w:t>
      </w:r>
      <w:r>
        <w:rPr>
          <w:rFonts w:hint="eastAsia" w:ascii="Times New Roman" w:hAnsi="Times New Roman" w:cs="Times New Roman" w:eastAsiaTheme="minorEastAsia"/>
          <w:kern w:val="2"/>
          <w:sz w:val="21"/>
          <w:szCs w:val="21"/>
          <w:lang w:val="en-US" w:eastAsia="zh-CN" w:bidi="ar-SA"/>
        </w:rPr>
        <w:t xml:space="preserve"> 电话：</w:t>
      </w:r>
      <w:r>
        <w:rPr>
          <w:rFonts w:hint="eastAsia" w:ascii="Times New Roman" w:hAnsi="Times New Roman" w:cs="Times New Roman" w:eastAsiaTheme="minorEastAsia"/>
          <w:kern w:val="2"/>
          <w:sz w:val="21"/>
          <w:szCs w:val="21"/>
          <w:u w:val="single"/>
          <w:lang w:val="en-US" w:eastAsia="zh-CN" w:bidi="ar-SA"/>
        </w:rPr>
        <w:t>{{分行座机电话}}</w:t>
      </w:r>
    </w:p>
    <w:p w14:paraId="02591256">
      <w:pPr>
        <w:widowControl w:val="0"/>
        <w:spacing w:line="360" w:lineRule="exact"/>
        <w:jc w:val="left"/>
        <w:rPr>
          <w:rFonts w:hint="eastAsia" w:ascii="Times New Roman" w:hAnsi="Times New Roman" w:cs="Times New Roman" w:eastAsiaTheme="minorEastAsia"/>
          <w:kern w:val="2"/>
          <w:sz w:val="21"/>
          <w:szCs w:val="21"/>
          <w:lang w:val="en-US" w:eastAsia="zh-CN" w:bidi="ar-SA"/>
        </w:rPr>
      </w:pPr>
      <w:r>
        <w:rPr>
          <w:rFonts w:hint="eastAsia" w:ascii="Times New Roman" w:hAnsi="Times New Roman" w:cs="Times New Roman" w:eastAsiaTheme="minorEastAsia"/>
          <w:kern w:val="2"/>
          <w:sz w:val="21"/>
          <w:szCs w:val="21"/>
          <w:lang w:val="en-US" w:eastAsia="zh-CN" w:bidi="ar-SA"/>
        </w:rPr>
        <w:t>联系人：</w:t>
      </w:r>
      <w:r>
        <w:rPr>
          <w:rFonts w:hint="eastAsia" w:ascii="Times New Roman" w:hAnsi="Times New Roman" w:cs="Times New Roman" w:eastAsiaTheme="minorEastAsia"/>
          <w:kern w:val="2"/>
          <w:sz w:val="21"/>
          <w:szCs w:val="21"/>
          <w:u w:val="single"/>
          <w:lang w:val="en-US" w:eastAsia="zh-CN" w:bidi="ar-SA"/>
        </w:rPr>
        <w:t>{{客户经理}}</w:t>
      </w:r>
      <w:r>
        <w:rPr>
          <w:rFonts w:hint="eastAsia" w:ascii="Times New Roman" w:hAnsi="Times New Roman" w:cs="Times New Roman" w:eastAsiaTheme="minorEastAsia"/>
          <w:kern w:val="2"/>
          <w:sz w:val="21"/>
          <w:szCs w:val="21"/>
          <w:lang w:val="en-US" w:eastAsia="zh-CN" w:bidi="ar-SA"/>
        </w:rPr>
        <w:t xml:space="preserve"> 部门：</w:t>
      </w:r>
      <w:r>
        <w:rPr>
          <w:rFonts w:hint="eastAsia" w:ascii="Times New Roman" w:hAnsi="Times New Roman" w:cs="Times New Roman" w:eastAsiaTheme="minorEastAsia"/>
          <w:kern w:val="2"/>
          <w:sz w:val="21"/>
          <w:szCs w:val="21"/>
          <w:u w:val="single"/>
          <w:lang w:val="en-US" w:eastAsia="zh-CN" w:bidi="ar-SA"/>
        </w:rPr>
        <w:t>{{部门}}</w:t>
      </w:r>
      <w:r>
        <w:rPr>
          <w:rFonts w:hint="eastAsia" w:ascii="Times New Roman" w:hAnsi="Times New Roman" w:cs="Times New Roman" w:eastAsiaTheme="minorEastAsia"/>
          <w:kern w:val="2"/>
          <w:sz w:val="21"/>
          <w:szCs w:val="21"/>
          <w:lang w:val="en-US" w:eastAsia="zh-CN" w:bidi="ar-SA"/>
        </w:rPr>
        <w:t xml:space="preserve"> 职位：</w:t>
      </w:r>
      <w:r>
        <w:rPr>
          <w:rFonts w:hint="eastAsia" w:ascii="Times New Roman" w:hAnsi="Times New Roman" w:cs="Times New Roman" w:eastAsiaTheme="minorEastAsia"/>
          <w:kern w:val="2"/>
          <w:sz w:val="21"/>
          <w:szCs w:val="21"/>
          <w:u w:val="single"/>
          <w:lang w:val="en-US" w:eastAsia="zh-CN" w:bidi="ar-SA"/>
        </w:rPr>
        <w:t>{{职位}}</w:t>
      </w:r>
    </w:p>
    <w:p w14:paraId="0F52D2C6">
      <w:pPr>
        <w:widowControl w:val="0"/>
        <w:spacing w:line="360" w:lineRule="exact"/>
        <w:ind w:leftChars="0"/>
        <w:jc w:val="left"/>
        <w:rPr>
          <w:rFonts w:hint="default" w:ascii="Times New Roman" w:hAnsi="Times New Roman" w:cs="Times New Roman" w:eastAsiaTheme="minorEastAsia"/>
          <w:kern w:val="2"/>
          <w:sz w:val="21"/>
          <w:szCs w:val="21"/>
          <w:lang w:val="en-US" w:eastAsia="zh-CN" w:bidi="ar-SA"/>
        </w:rPr>
      </w:pPr>
      <w:r>
        <w:rPr>
          <w:rFonts w:hint="eastAsia" w:ascii="Times New Roman" w:hAnsi="Times New Roman" w:cs="Times New Roman" w:eastAsiaTheme="minorEastAsia"/>
          <w:kern w:val="2"/>
          <w:sz w:val="21"/>
          <w:szCs w:val="21"/>
          <w:lang w:val="en-US" w:eastAsia="zh-CN" w:bidi="ar-SA"/>
        </w:rPr>
        <w:t>联系电话：</w:t>
      </w:r>
      <w:r>
        <w:rPr>
          <w:rFonts w:hint="eastAsia" w:ascii="Times New Roman" w:hAnsi="Times New Roman" w:cs="Times New Roman" w:eastAsiaTheme="minorEastAsia"/>
          <w:kern w:val="2"/>
          <w:sz w:val="21"/>
          <w:szCs w:val="21"/>
          <w:u w:val="single"/>
          <w:lang w:val="en-US" w:eastAsia="zh-CN" w:bidi="ar-SA"/>
        </w:rPr>
        <w:t>{{联系电话}}</w:t>
      </w:r>
      <w:r>
        <w:rPr>
          <w:rFonts w:hint="eastAsia" w:ascii="Times New Roman" w:hAnsi="Times New Roman" w:cs="Times New Roman" w:eastAsiaTheme="minorEastAsia"/>
          <w:kern w:val="2"/>
          <w:sz w:val="21"/>
          <w:szCs w:val="21"/>
          <w:lang w:val="en-US" w:eastAsia="zh-CN" w:bidi="ar-SA"/>
        </w:rPr>
        <w:t xml:space="preserve"> 邮箱：</w:t>
      </w:r>
      <w:r>
        <w:rPr>
          <w:rFonts w:hint="eastAsia" w:ascii="Times New Roman" w:hAnsi="Times New Roman" w:cs="Times New Roman" w:eastAsiaTheme="minorEastAsia"/>
          <w:kern w:val="2"/>
          <w:sz w:val="21"/>
          <w:szCs w:val="21"/>
          <w:u w:val="single"/>
          <w:lang w:val="en-US" w:eastAsia="zh-CN" w:bidi="ar-SA"/>
        </w:rPr>
        <w:t>{{邮箱}}</w:t>
      </w:r>
    </w:p>
    <w:p w14:paraId="7B52C216">
      <w:pPr>
        <w:spacing w:line="360" w:lineRule="exact"/>
        <w:jc w:val="left"/>
        <w:rPr>
          <w:kern w:val="0"/>
          <w:szCs w:val="21"/>
        </w:rPr>
      </w:pPr>
    </w:p>
    <w:p w14:paraId="155791C2">
      <w:pPr>
        <w:spacing w:line="360" w:lineRule="exact"/>
        <w:jc w:val="left"/>
        <w:rPr>
          <w:rFonts w:hint="eastAsia" w:ascii="国标宋体" w:hAnsi="国标宋体" w:eastAsia="国标宋体" w:cs="国标宋体"/>
          <w:kern w:val="0"/>
          <w:sz w:val="21"/>
          <w:szCs w:val="21"/>
          <w:lang w:val="en-US" w:eastAsia="zh-CN"/>
        </w:rPr>
      </w:pPr>
      <w:r>
        <w:rPr>
          <w:rFonts w:hint="eastAsia"/>
          <w:kern w:val="0"/>
          <w:szCs w:val="21"/>
        </w:rPr>
        <w:t>乙方（</w:t>
      </w:r>
      <w:r>
        <w:rPr>
          <w:kern w:val="0"/>
          <w:szCs w:val="21"/>
        </w:rPr>
        <w:t>承兑申请人</w:t>
      </w:r>
      <w:r>
        <w:rPr>
          <w:rFonts w:hint="eastAsia"/>
          <w:kern w:val="0"/>
          <w:szCs w:val="21"/>
        </w:rPr>
        <w:t>）：</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rPr>
        <w:t>企业名称</w:t>
      </w:r>
      <w:r>
        <w:rPr>
          <w:rFonts w:hint="eastAsia" w:ascii="Times New Roman" w:hAnsi="Times New Roman" w:cs="Times New Roman" w:eastAsiaTheme="minorEastAsia"/>
          <w:kern w:val="2"/>
          <w:sz w:val="21"/>
          <w:szCs w:val="21"/>
          <w:u w:val="single"/>
          <w:lang w:val="en-US" w:eastAsia="zh-CN" w:bidi="ar-SA"/>
        </w:rPr>
        <w:t>}}</w:t>
      </w:r>
    </w:p>
    <w:p w14:paraId="28381855">
      <w:pPr>
        <w:spacing w:line="360" w:lineRule="exact"/>
        <w:jc w:val="left"/>
        <w:rPr>
          <w:rFonts w:hint="eastAsia" w:ascii="国标宋体" w:hAnsi="国标宋体" w:eastAsia="国标宋体" w:cs="国标宋体"/>
          <w:color w:val="030303"/>
          <w:sz w:val="21"/>
          <w:szCs w:val="21"/>
          <w:lang w:val="en-US" w:eastAsia="zh-CN"/>
        </w:rPr>
      </w:pPr>
      <w:r>
        <w:rPr>
          <w:rFonts w:hint="eastAsia" w:ascii="国标宋体" w:hAnsi="国标宋体" w:eastAsia="国标宋体" w:cs="国标宋体"/>
          <w:kern w:val="0"/>
          <w:sz w:val="21"/>
          <w:szCs w:val="21"/>
        </w:rPr>
        <w:t>住所（地址）：</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lang w:val="en-US" w:eastAsia="zh-CN"/>
        </w:rPr>
        <w:t>企业地址</w:t>
      </w:r>
      <w:r>
        <w:rPr>
          <w:rFonts w:hint="eastAsia" w:ascii="Times New Roman" w:hAnsi="Times New Roman" w:cs="Times New Roman" w:eastAsiaTheme="minorEastAsia"/>
          <w:kern w:val="2"/>
          <w:sz w:val="21"/>
          <w:szCs w:val="21"/>
          <w:u w:val="single"/>
          <w:lang w:val="en-US" w:eastAsia="zh-CN" w:bidi="ar-SA"/>
        </w:rPr>
        <w:t>}}</w:t>
      </w:r>
    </w:p>
    <w:p w14:paraId="4F58C4D6">
      <w:pPr>
        <w:spacing w:line="360" w:lineRule="exact"/>
        <w:jc w:val="left"/>
        <w:rPr>
          <w:rFonts w:hint="default" w:ascii="国标宋体" w:hAnsi="国标宋体" w:eastAsia="国标宋体" w:cs="国标宋体"/>
          <w:snapToGrid w:val="0"/>
          <w:kern w:val="0"/>
          <w:sz w:val="21"/>
          <w:szCs w:val="21"/>
          <w:lang w:val="en-US" w:eastAsia="zh-CN" w:bidi="ar-SA"/>
        </w:rPr>
      </w:pPr>
      <w:r>
        <w:rPr>
          <w:rFonts w:hint="eastAsia" w:ascii="国标宋体" w:hAnsi="国标宋体" w:eastAsia="国标宋体" w:cs="国标宋体"/>
          <w:snapToGrid w:val="0"/>
          <w:kern w:val="0"/>
          <w:sz w:val="21"/>
          <w:szCs w:val="21"/>
        </w:rPr>
        <w:t>法定代表人（负责人）：</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u w:val="single"/>
          <w:lang w:val="en-US" w:eastAsia="zh-CN" w:bidi="ar-SA"/>
        </w:rPr>
        <w:t>企业法人</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lang w:val="en-US" w:eastAsia="zh-CN" w:bidi="ar-SA"/>
        </w:rPr>
        <w:t xml:space="preserve"> 电话：</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u w:val="single"/>
          <w:lang w:val="en-US" w:eastAsia="zh-CN" w:bidi="ar-SA"/>
        </w:rPr>
        <w:t>企业法人电话</w:t>
      </w:r>
      <w:r>
        <w:rPr>
          <w:rFonts w:hint="eastAsia" w:ascii="Times New Roman" w:hAnsi="Times New Roman" w:cs="Times New Roman" w:eastAsiaTheme="minorEastAsia"/>
          <w:kern w:val="2"/>
          <w:sz w:val="21"/>
          <w:szCs w:val="21"/>
          <w:u w:val="single"/>
          <w:lang w:val="en-US" w:eastAsia="zh-CN" w:bidi="ar-SA"/>
        </w:rPr>
        <w:t>}}</w:t>
      </w:r>
    </w:p>
    <w:p w14:paraId="7E25DC06">
      <w:pPr>
        <w:spacing w:line="360" w:lineRule="exact"/>
        <w:jc w:val="left"/>
        <w:rPr>
          <w:rFonts w:hint="default" w:ascii="国标宋体" w:hAnsi="国标宋体" w:eastAsia="国标宋体" w:cs="国标宋体"/>
          <w:kern w:val="0"/>
          <w:sz w:val="21"/>
          <w:szCs w:val="21"/>
          <w:lang w:val="en-US" w:eastAsia="zh-CN"/>
        </w:rPr>
      </w:pPr>
      <w:r>
        <w:rPr>
          <w:rFonts w:hint="eastAsia" w:ascii="国标宋体" w:hAnsi="国标宋体" w:eastAsia="国标宋体" w:cs="国标宋体"/>
          <w:kern w:val="0"/>
          <w:sz w:val="21"/>
          <w:szCs w:val="21"/>
        </w:rPr>
        <w:t>联系人：</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lang w:val="en-US" w:eastAsia="zh-CN"/>
        </w:rPr>
        <w:t>企业联系人</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lang w:val="en-US" w:eastAsia="zh-CN"/>
        </w:rPr>
        <w:t xml:space="preserve"> </w:t>
      </w:r>
      <w:r>
        <w:rPr>
          <w:rFonts w:hint="eastAsia" w:ascii="国标宋体" w:hAnsi="国标宋体" w:eastAsia="国标宋体" w:cs="国标宋体"/>
          <w:kern w:val="0"/>
          <w:sz w:val="21"/>
          <w:szCs w:val="21"/>
        </w:rPr>
        <w:t>部门：</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lang w:val="en-US" w:eastAsia="zh-CN"/>
        </w:rPr>
        <w:t>企业联系人部门</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rPr>
        <w:t xml:space="preserve"> 职位：</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lang w:val="en-US" w:eastAsia="zh-CN"/>
        </w:rPr>
        <w:t>企业联系人职位</w:t>
      </w:r>
      <w:r>
        <w:rPr>
          <w:rFonts w:hint="eastAsia" w:ascii="Times New Roman" w:hAnsi="Times New Roman" w:cs="Times New Roman" w:eastAsiaTheme="minorEastAsia"/>
          <w:kern w:val="2"/>
          <w:sz w:val="21"/>
          <w:szCs w:val="21"/>
          <w:u w:val="single"/>
          <w:lang w:val="en-US" w:eastAsia="zh-CN" w:bidi="ar-SA"/>
        </w:rPr>
        <w:t>}}</w:t>
      </w:r>
    </w:p>
    <w:p w14:paraId="626A02BC">
      <w:pPr>
        <w:widowControl w:val="0"/>
        <w:spacing w:line="360" w:lineRule="exact"/>
        <w:ind w:leftChars="0"/>
        <w:jc w:val="left"/>
        <w:rPr>
          <w:rFonts w:hint="default" w:ascii="国标宋体" w:hAnsi="国标宋体" w:eastAsia="国标宋体" w:cs="国标宋体"/>
          <w:snapToGrid w:val="0"/>
          <w:kern w:val="0"/>
          <w:sz w:val="21"/>
          <w:szCs w:val="21"/>
          <w:lang w:val="en-US" w:eastAsia="zh-CN" w:bidi="ar-SA"/>
        </w:rPr>
      </w:pPr>
      <w:r>
        <w:rPr>
          <w:rFonts w:hint="eastAsia" w:ascii="国标宋体" w:hAnsi="国标宋体" w:eastAsia="国标宋体" w:cs="国标宋体"/>
          <w:snapToGrid w:val="0"/>
          <w:kern w:val="0"/>
          <w:sz w:val="21"/>
          <w:szCs w:val="21"/>
          <w:lang w:val="en-US" w:eastAsia="zh-CN" w:bidi="ar-SA"/>
        </w:rPr>
        <w:t>联系电话：</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u w:val="single"/>
          <w:lang w:val="en-US" w:eastAsia="zh-CN" w:bidi="ar-SA"/>
        </w:rPr>
        <w:t>企业联系人电话</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lang w:val="en-US" w:eastAsia="zh-CN" w:bidi="ar-SA"/>
        </w:rPr>
        <w:t xml:space="preserve"> 邮箱：</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u w:val="single"/>
          <w:lang w:val="en-US" w:eastAsia="zh-CN" w:bidi="ar-SA"/>
        </w:rPr>
        <w:t>企业联系人邮箱</w:t>
      </w:r>
      <w:r>
        <w:rPr>
          <w:rFonts w:hint="eastAsia" w:ascii="Times New Roman" w:hAnsi="Times New Roman" w:cs="Times New Roman" w:eastAsiaTheme="minorEastAsia"/>
          <w:kern w:val="2"/>
          <w:sz w:val="21"/>
          <w:szCs w:val="21"/>
          <w:u w:val="single"/>
          <w:lang w:val="en-US" w:eastAsia="zh-CN" w:bidi="ar-SA"/>
        </w:rPr>
        <w:t>}}</w:t>
      </w:r>
    </w:p>
    <w:p w14:paraId="5E3D475B">
      <w:pPr>
        <w:spacing w:line="360" w:lineRule="exact"/>
        <w:jc w:val="left"/>
        <w:rPr>
          <w:rFonts w:hint="default" w:ascii="宋体" w:hAnsi="宋体" w:eastAsia="宋体"/>
          <w:kern w:val="0"/>
          <w:sz w:val="21"/>
          <w:szCs w:val="21"/>
          <w:u w:val="single"/>
          <w:lang w:val="en-US" w:eastAsia="zh-CN"/>
        </w:rPr>
      </w:pPr>
    </w:p>
    <w:p w14:paraId="0941CB4F">
      <w:pPr>
        <w:spacing w:line="370" w:lineRule="exact"/>
        <w:ind w:firstLine="420"/>
        <w:rPr>
          <w:kern w:val="0"/>
          <w:szCs w:val="21"/>
        </w:rPr>
      </w:pPr>
      <w:r>
        <w:rPr>
          <w:kern w:val="0"/>
          <w:szCs w:val="21"/>
        </w:rPr>
        <w:t>乙方向甲方申请额度项下“自由票”业务项下汇票承兑，经双方协商一致，同意按下列条款签订本合同。</w:t>
      </w:r>
    </w:p>
    <w:p w14:paraId="65831CFE">
      <w:pPr>
        <w:spacing w:line="370" w:lineRule="exact"/>
        <w:ind w:firstLine="420" w:firstLineChars="200"/>
        <w:rPr>
          <w:kern w:val="0"/>
          <w:szCs w:val="21"/>
        </w:rPr>
      </w:pPr>
      <w:r>
        <w:rPr>
          <w:kern w:val="0"/>
          <w:szCs w:val="21"/>
        </w:rPr>
        <w:t>本合同仅是对乙、甲双方在办理“自由票”业务项下汇票承兑业务时双方权利、义务的约定，并不构成甲方对乙方的任何授信承诺。本合同项下具体业务内容以经甲方根据乙方在甲方平台或经甲方认可的电子银行或线上系统上提交的《承兑申请书》审核并承兑的汇票为准。</w:t>
      </w:r>
      <w:r>
        <w:rPr>
          <w:kern w:val="0"/>
          <w:lang w:val="zh-CN"/>
        </w:rPr>
        <w:t>为免疑义，</w:t>
      </w:r>
      <w:r>
        <w:rPr>
          <w:kern w:val="0"/>
          <w:szCs w:val="21"/>
        </w:rPr>
        <w:t>本合同</w:t>
      </w:r>
      <w:r>
        <w:rPr>
          <w:kern w:val="0"/>
          <w:lang w:val="zh-CN"/>
        </w:rPr>
        <w:t>中若涉及选择项的，请在选择项内打“√”，并对不选项打“Ｘ”。</w:t>
      </w:r>
    </w:p>
    <w:p w14:paraId="330A1762">
      <w:pPr>
        <w:spacing w:line="370" w:lineRule="exact"/>
        <w:rPr>
          <w:kern w:val="0"/>
          <w:szCs w:val="21"/>
        </w:rPr>
      </w:pPr>
    </w:p>
    <w:p w14:paraId="4B2F14A1">
      <w:pPr>
        <w:pStyle w:val="23"/>
        <w:numPr>
          <w:ilvl w:val="0"/>
          <w:numId w:val="1"/>
        </w:numPr>
        <w:spacing w:line="370" w:lineRule="exact"/>
        <w:ind w:left="0" w:firstLine="0" w:firstLineChars="0"/>
        <w:jc w:val="center"/>
        <w:outlineLvl w:val="1"/>
        <w:rPr>
          <w:rFonts w:ascii="Times New Roman" w:hAnsi="Times New Roman" w:eastAsia="宋体" w:cs="Times New Roman"/>
          <w:b/>
          <w:kern w:val="0"/>
          <w:szCs w:val="21"/>
        </w:rPr>
      </w:pPr>
      <w:r>
        <w:rPr>
          <w:rFonts w:ascii="Times New Roman" w:hAnsi="Times New Roman" w:eastAsia="宋体" w:cs="Times New Roman"/>
          <w:b/>
          <w:bCs/>
          <w:kern w:val="0"/>
          <w:szCs w:val="21"/>
        </w:rPr>
        <w:t>自由票额度相关事项</w:t>
      </w:r>
    </w:p>
    <w:p w14:paraId="75C7B353">
      <w:pPr>
        <w:pStyle w:val="23"/>
        <w:numPr>
          <w:ilvl w:val="1"/>
          <w:numId w:val="2"/>
        </w:numPr>
        <w:spacing w:line="370" w:lineRule="exact"/>
        <w:ind w:left="422" w:hanging="422" w:hangingChars="200"/>
        <w:rPr>
          <w:rFonts w:ascii="Times New Roman" w:hAnsi="Times New Roman" w:eastAsia="宋体" w:cs="Times New Roman"/>
          <w:kern w:val="0"/>
          <w:szCs w:val="21"/>
        </w:rPr>
      </w:pPr>
      <w:r>
        <w:rPr>
          <w:rFonts w:ascii="Times New Roman" w:hAnsi="Times New Roman" w:eastAsia="宋体" w:cs="Times New Roman"/>
          <w:b/>
          <w:kern w:val="0"/>
          <w:szCs w:val="21"/>
        </w:rPr>
        <w:t>自由票额度最高限额</w:t>
      </w:r>
      <w:r>
        <w:rPr>
          <w:rFonts w:ascii="Times New Roman" w:hAnsi="Times New Roman" w:eastAsia="宋体" w:cs="Times New Roman"/>
          <w:kern w:val="0"/>
          <w:szCs w:val="21"/>
        </w:rPr>
        <w:t>：</w:t>
      </w:r>
      <w:r>
        <w:rPr>
          <w:rFonts w:hint="eastAsia" w:ascii="Times New Roman" w:hAnsi="Times New Roman" w:eastAsia="宋体" w:cs="Times New Roman"/>
          <w:kern w:val="0"/>
          <w:szCs w:val="21"/>
          <w:u w:val="single"/>
          <w:lang w:val="en-US" w:eastAsia="zh-CN"/>
        </w:rPr>
        <w:t>{{币种}}</w:t>
      </w:r>
      <w:r>
        <w:rPr>
          <w:rFonts w:ascii="Times New Roman" w:hAnsi="Times New Roman" w:eastAsia="宋体" w:cs="Times New Roman"/>
          <w:kern w:val="0"/>
          <w:szCs w:val="21"/>
        </w:rPr>
        <w:t>（金额大写）</w:t>
      </w:r>
      <w:r>
        <w:rPr>
          <w:rFonts w:hint="eastAsia"/>
          <w:kern w:val="0"/>
          <w:szCs w:val="21"/>
          <w:u w:val="single"/>
          <w:lang w:val="en-US" w:eastAsia="zh-CN"/>
        </w:rPr>
        <w:t>{{批复金额大写}}</w:t>
      </w:r>
      <w:bookmarkStart w:id="9" w:name="_GoBack"/>
      <w:bookmarkEnd w:id="9"/>
    </w:p>
    <w:p w14:paraId="1505BF55">
      <w:pPr>
        <w:pStyle w:val="23"/>
        <w:numPr>
          <w:ilvl w:val="1"/>
          <w:numId w:val="2"/>
        </w:numPr>
        <w:spacing w:line="370" w:lineRule="exact"/>
        <w:ind w:left="422" w:hanging="422" w:hangingChars="200"/>
        <w:rPr>
          <w:rFonts w:ascii="Times New Roman" w:hAnsi="Times New Roman" w:eastAsia="宋体" w:cs="Times New Roman"/>
          <w:kern w:val="0"/>
          <w:szCs w:val="21"/>
        </w:rPr>
      </w:pPr>
      <w:r>
        <w:rPr>
          <w:rFonts w:ascii="Times New Roman" w:hAnsi="Times New Roman" w:eastAsia="宋体" w:cs="Times New Roman"/>
          <w:b/>
          <w:kern w:val="0"/>
          <w:szCs w:val="21"/>
        </w:rPr>
        <w:t>自由票额度有效期限</w:t>
      </w:r>
      <w:r>
        <w:rPr>
          <w:rFonts w:ascii="Times New Roman" w:hAnsi="Times New Roman" w:eastAsia="宋体" w:cs="Times New Roman"/>
          <w:kern w:val="0"/>
          <w:szCs w:val="21"/>
        </w:rPr>
        <w:t>：</w:t>
      </w:r>
      <w:r>
        <w:rPr>
          <w:rFonts w:hint="eastAsia"/>
          <w:kern w:val="0"/>
          <w:szCs w:val="21"/>
          <w:lang w:val="en-US" w:eastAsia="zh-CN"/>
        </w:rPr>
        <w:t>{{额度启用日期}}</w:t>
      </w:r>
      <w:r>
        <w:rPr>
          <w:rFonts w:hint="eastAsia" w:ascii="Times New Roman" w:hAnsi="Times New Roman" w:eastAsia="宋体" w:cs="Times New Roman"/>
          <w:kern w:val="0"/>
          <w:szCs w:val="21"/>
          <w:u w:val="single"/>
          <w:lang w:val="en-US" w:eastAsia="zh-CN"/>
        </w:rPr>
        <w:t xml:space="preserve">   </w:t>
      </w:r>
      <w:r>
        <w:rPr>
          <w:rFonts w:ascii="Times New Roman" w:hAnsi="Times New Roman" w:eastAsia="宋体" w:cs="Times New Roman"/>
          <w:kern w:val="0"/>
          <w:szCs w:val="21"/>
        </w:rPr>
        <w:t>日（自然日，下同）起至</w:t>
      </w:r>
      <w:r>
        <w:rPr>
          <w:rFonts w:hint="eastAsia"/>
          <w:kern w:val="0"/>
          <w:szCs w:val="21"/>
          <w:lang w:val="en-US" w:eastAsia="zh-CN"/>
        </w:rPr>
        <w:t>{{额度到期日期}}</w:t>
      </w:r>
      <w:r>
        <w:rPr>
          <w:rFonts w:hint="eastAsia" w:ascii="Times New Roman" w:hAnsi="Times New Roman" w:eastAsia="宋体" w:cs="Times New Roman"/>
          <w:kern w:val="0"/>
          <w:szCs w:val="21"/>
          <w:u w:val="single"/>
          <w:lang w:val="en-US" w:eastAsia="zh-CN"/>
        </w:rPr>
        <w:t xml:space="preserve">   </w:t>
      </w:r>
      <w:r>
        <w:rPr>
          <w:rFonts w:ascii="Times New Roman" w:hAnsi="Times New Roman" w:eastAsia="宋体" w:cs="Times New Roman"/>
          <w:kern w:val="0"/>
          <w:szCs w:val="21"/>
        </w:rPr>
        <w:t>日止。在此期限内，自由票额度可以多次循环使用，但乙方每次支用的金额与其未偿还的借款余额之和不得超过上述约定的自由票额度最高限额。在自由票额度有效期限届满时，乙方仍未使用的额度自动失效。乙方可以向甲方重新申请自由票额度。</w:t>
      </w:r>
    </w:p>
    <w:p w14:paraId="557009D9">
      <w:pPr>
        <w:pStyle w:val="23"/>
        <w:numPr>
          <w:ilvl w:val="1"/>
          <w:numId w:val="2"/>
        </w:numPr>
        <w:spacing w:line="370" w:lineRule="exact"/>
        <w:ind w:left="422" w:hanging="422" w:hangingChars="200"/>
        <w:rPr>
          <w:rFonts w:ascii="Times New Roman" w:hAnsi="Times New Roman" w:eastAsia="宋体" w:cs="Times New Roman"/>
          <w:kern w:val="0"/>
          <w:szCs w:val="21"/>
        </w:rPr>
      </w:pPr>
      <w:r>
        <w:rPr>
          <w:rFonts w:ascii="Times New Roman" w:hAnsi="Times New Roman" w:eastAsia="宋体" w:cs="Times New Roman"/>
          <w:b/>
          <w:kern w:val="0"/>
          <w:szCs w:val="21"/>
        </w:rPr>
        <w:t>自由票单笔业务期限：</w:t>
      </w:r>
      <w:r>
        <w:rPr>
          <w:rFonts w:ascii="Times New Roman" w:hAnsi="Times New Roman" w:eastAsia="宋体" w:cs="Times New Roman"/>
          <w:kern w:val="0"/>
          <w:szCs w:val="21"/>
        </w:rPr>
        <w:t>自由票额度项下单笔业务必须在额度有效期内支用；低风险业务项下任一单笔业务的到期日最迟不得超过自由票额度有效期届满之日起12个月，非低风险业务项下任一单笔业务的到期日最迟不得超过自由票额度有效期届满之日起6个月。</w:t>
      </w:r>
    </w:p>
    <w:p w14:paraId="5CF6165A">
      <w:pPr>
        <w:spacing w:line="370" w:lineRule="exact"/>
        <w:rPr>
          <w:kern w:val="0"/>
          <w:szCs w:val="21"/>
        </w:rPr>
      </w:pPr>
    </w:p>
    <w:p w14:paraId="73ADCC20">
      <w:pPr>
        <w:pStyle w:val="23"/>
        <w:numPr>
          <w:ilvl w:val="0"/>
          <w:numId w:val="1"/>
        </w:numPr>
        <w:spacing w:line="370" w:lineRule="exact"/>
        <w:ind w:left="0" w:firstLine="0" w:firstLineChars="0"/>
        <w:jc w:val="center"/>
        <w:outlineLvl w:val="1"/>
        <w:rPr>
          <w:rFonts w:ascii="Times New Roman" w:hAnsi="Times New Roman" w:eastAsia="宋体" w:cs="Times New Roman"/>
          <w:kern w:val="0"/>
          <w:szCs w:val="21"/>
        </w:rPr>
      </w:pPr>
      <w:r>
        <w:rPr>
          <w:rFonts w:ascii="Times New Roman" w:hAnsi="Times New Roman" w:eastAsia="宋体" w:cs="Times New Roman"/>
          <w:b/>
          <w:bCs/>
          <w:kern w:val="0"/>
          <w:szCs w:val="21"/>
        </w:rPr>
        <w:t>承兑金额、期限</w:t>
      </w:r>
    </w:p>
    <w:p w14:paraId="7E549708">
      <w:pPr>
        <w:pStyle w:val="23"/>
        <w:numPr>
          <w:ilvl w:val="1"/>
          <w:numId w:val="3"/>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甲方对乙方提交的《承兑申请书》及其他相关资料经审查后有权自行决定是否同意乙方的申请。</w:t>
      </w:r>
    </w:p>
    <w:p w14:paraId="1804BED7">
      <w:pPr>
        <w:pStyle w:val="23"/>
        <w:numPr>
          <w:ilvl w:val="1"/>
          <w:numId w:val="3"/>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承兑金额、期限以经甲方根据乙方《承兑申请书》审核并承兑的汇票为准。</w:t>
      </w:r>
    </w:p>
    <w:p w14:paraId="154AC0CE">
      <w:pPr>
        <w:pStyle w:val="23"/>
        <w:numPr>
          <w:ilvl w:val="1"/>
          <w:numId w:val="3"/>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乙方向甲方申请办理本合同约定的线上融资业务项下单笔票据承兑业务时，应通过甲方平台向甲方提交承兑申请（参照式样，见附件），经甲方确认后的申请书，是《综合授信额度合同》及本业务合同相关附件不可分割的组成部分，对甲乙双方均有法律约束力。</w:t>
      </w:r>
    </w:p>
    <w:p w14:paraId="092E3BA0">
      <w:pPr>
        <w:spacing w:line="370" w:lineRule="exact"/>
        <w:rPr>
          <w:kern w:val="0"/>
          <w:szCs w:val="21"/>
        </w:rPr>
      </w:pPr>
    </w:p>
    <w:p w14:paraId="0F1BD66B">
      <w:pPr>
        <w:pStyle w:val="23"/>
        <w:numPr>
          <w:ilvl w:val="0"/>
          <w:numId w:val="1"/>
        </w:numPr>
        <w:spacing w:line="370" w:lineRule="exact"/>
        <w:ind w:left="0" w:firstLine="0" w:firstLineChars="0"/>
        <w:jc w:val="center"/>
        <w:outlineLvl w:val="1"/>
        <w:rPr>
          <w:rFonts w:ascii="Times New Roman" w:hAnsi="Times New Roman" w:eastAsia="宋体" w:cs="Times New Roman"/>
          <w:b/>
          <w:bCs/>
          <w:kern w:val="0"/>
          <w:szCs w:val="21"/>
        </w:rPr>
      </w:pPr>
      <w:r>
        <w:rPr>
          <w:rFonts w:ascii="Times New Roman" w:hAnsi="Times New Roman" w:eastAsia="宋体" w:cs="Times New Roman"/>
          <w:b/>
          <w:bCs/>
          <w:kern w:val="0"/>
          <w:szCs w:val="21"/>
        </w:rPr>
        <w:t>承兑的担保与费用</w:t>
      </w:r>
    </w:p>
    <w:p w14:paraId="54FA2540">
      <w:pPr>
        <w:pStyle w:val="23"/>
        <w:numPr>
          <w:ilvl w:val="1"/>
          <w:numId w:val="4"/>
        </w:numPr>
        <w:spacing w:line="370" w:lineRule="exact"/>
        <w:ind w:left="420" w:hanging="420" w:hangingChars="200"/>
        <w:rPr>
          <w:rFonts w:ascii="Times New Roman" w:hAnsi="Times New Roman" w:eastAsia="宋体" w:cs="Times New Roman"/>
          <w:b/>
          <w:bCs/>
          <w:kern w:val="0"/>
          <w:szCs w:val="21"/>
        </w:rPr>
      </w:pPr>
      <w:r>
        <w:rPr>
          <w:rFonts w:ascii="Times New Roman" w:hAnsi="Times New Roman" w:eastAsia="宋体" w:cs="Times New Roman"/>
          <w:kern w:val="0"/>
          <w:szCs w:val="21"/>
        </w:rPr>
        <w:t>除经甲方同意调整的情形外，乙方应按汇票金额的__</w:t>
      </w:r>
      <w:r>
        <w:rPr>
          <w:rFonts w:hint="eastAsia" w:ascii="Times New Roman" w:hAnsi="Times New Roman" w:eastAsia="宋体" w:cs="Times New Roman"/>
          <w:kern w:val="0"/>
          <w:szCs w:val="21"/>
          <w:lang w:val="en-US" w:eastAsia="zh-CN"/>
        </w:rPr>
        <w:t>/</w:t>
      </w:r>
      <w:r>
        <w:rPr>
          <w:rFonts w:ascii="Times New Roman" w:hAnsi="Times New Roman" w:eastAsia="宋体" w:cs="Times New Roman"/>
          <w:kern w:val="0"/>
          <w:szCs w:val="21"/>
        </w:rPr>
        <w:t>______%向甲方交存保证金</w:t>
      </w:r>
      <w:r>
        <w:rPr>
          <w:rFonts w:ascii="Times New Roman" w:hAnsi="Times New Roman" w:eastAsia="宋体" w:cs="Times New Roman"/>
          <w:snapToGrid w:val="0"/>
          <w:kern w:val="0"/>
          <w:szCs w:val="21"/>
        </w:rPr>
        <w:t>，乙方保证金均应汇入以下保证金账户：</w:t>
      </w:r>
      <w:r>
        <w:rPr>
          <w:rFonts w:hint="eastAsia" w:ascii="Times New Roman" w:hAnsi="Times New Roman" w:eastAsia="宋体" w:cs="Times New Roman"/>
          <w:snapToGrid w:val="0"/>
          <w:kern w:val="0"/>
          <w:szCs w:val="21"/>
          <w:lang w:val="en-US" w:eastAsia="zh-CN"/>
        </w:rPr>
        <w:t xml:space="preserve"> </w:t>
      </w:r>
      <w:r>
        <w:rPr>
          <w:rFonts w:hint="eastAsia" w:ascii="Times New Roman" w:hAnsi="Times New Roman" w:eastAsia="宋体" w:cs="Times New Roman"/>
          <w:snapToGrid w:val="0"/>
          <w:kern w:val="0"/>
          <w:szCs w:val="21"/>
          <w:u w:val="single"/>
          <w:lang w:val="en-US" w:eastAsia="zh-CN"/>
        </w:rPr>
        <w:t xml:space="preserve">                   </w:t>
      </w:r>
      <w:r>
        <w:rPr>
          <w:rFonts w:ascii="Times New Roman" w:hAnsi="Times New Roman" w:eastAsia="宋体" w:cs="Times New Roman"/>
          <w:snapToGrid w:val="0"/>
          <w:kern w:val="0"/>
          <w:szCs w:val="21"/>
        </w:rPr>
        <w:t>或甲方认可的其他保证金账户</w:t>
      </w:r>
      <w:r>
        <w:rPr>
          <w:rFonts w:ascii="Times New Roman" w:hAnsi="Times New Roman" w:eastAsia="宋体" w:cs="Times New Roman"/>
          <w:kern w:val="0"/>
          <w:szCs w:val="21"/>
        </w:rPr>
        <w:t>。交存的保证金转移为甲方占有，保证金本息作为向甲方申请承兑的质押担保；除本合同另有约定外乙方不得将其转出保证金账户或用于其他用途。</w:t>
      </w:r>
      <w:r>
        <w:rPr>
          <w:rFonts w:ascii="Times New Roman" w:hAnsi="Times New Roman" w:eastAsia="宋体" w:cs="Times New Roman"/>
          <w:b/>
          <w:bCs/>
          <w:kern w:val="0"/>
          <w:szCs w:val="21"/>
        </w:rPr>
        <w:t>乙方授权甲方可从乙方开立在甲方的账户中直接划转本合同约定金额的保证金</w:t>
      </w:r>
      <w:r>
        <w:rPr>
          <w:rFonts w:ascii="Times New Roman" w:hAnsi="Times New Roman" w:cs="Times New Roman"/>
          <w:b/>
          <w:snapToGrid w:val="0"/>
          <w:kern w:val="0"/>
          <w:szCs w:val="21"/>
        </w:rPr>
        <w:t>，以满足前述保证金交付要求。</w:t>
      </w:r>
    </w:p>
    <w:p w14:paraId="74BB4001">
      <w:pPr>
        <w:pStyle w:val="23"/>
        <w:numPr>
          <w:ilvl w:val="0"/>
          <w:numId w:val="5"/>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1、保证金不计利息；</w:t>
      </w:r>
    </w:p>
    <w:p w14:paraId="76161092">
      <w:pPr>
        <w:pStyle w:val="23"/>
        <w:numPr>
          <w:ilvl w:val="0"/>
          <w:numId w:val="5"/>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2、自划转或交存之日起，保证金按照中国人民银行当日公布的金融机构人民币存款基准利率中的以下利率计付利息：</w:t>
      </w:r>
    </w:p>
    <w:p w14:paraId="302D7C56">
      <w:pPr>
        <w:pStyle w:val="23"/>
        <w:numPr>
          <w:ilvl w:val="0"/>
          <w:numId w:val="5"/>
        </w:numPr>
        <w:spacing w:line="370" w:lineRule="exact"/>
        <w:ind w:left="1470" w:leftChars="50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活期存款基准利率</w:t>
      </w:r>
    </w:p>
    <w:p w14:paraId="5D91BE3A">
      <w:pPr>
        <w:pStyle w:val="23"/>
        <w:numPr>
          <w:ilvl w:val="0"/>
          <w:numId w:val="5"/>
        </w:numPr>
        <w:spacing w:line="370" w:lineRule="exact"/>
        <w:ind w:left="1470" w:leftChars="50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保证金交存期限对应的同期同档次定期存款基准利率</w:t>
      </w:r>
    </w:p>
    <w:p w14:paraId="4AC0E1EC">
      <w:pPr>
        <w:pStyle w:val="23"/>
        <w:numPr>
          <w:ilvl w:val="0"/>
          <w:numId w:val="5"/>
        </w:numPr>
        <w:spacing w:line="370" w:lineRule="exact"/>
        <w:ind w:left="1050" w:leftChars="200" w:hanging="630" w:hangingChars="300"/>
        <w:jc w:val="left"/>
        <w:rPr>
          <w:rFonts w:ascii="Times New Roman" w:hAnsi="Times New Roman" w:eastAsia="宋体" w:cs="Times New Roman"/>
          <w:kern w:val="0"/>
          <w:szCs w:val="21"/>
          <w:u w:val="single"/>
        </w:rPr>
      </w:pPr>
      <w:r>
        <w:rPr>
          <w:rFonts w:ascii="Times New Roman" w:hAnsi="Times New Roman" w:eastAsia="宋体" w:cs="Times New Roman"/>
          <w:kern w:val="0"/>
          <w:szCs w:val="21"/>
        </w:rPr>
        <w:t>3、保证金按以下方式计息：</w:t>
      </w:r>
      <w:r>
        <w:rPr>
          <w:rFonts w:hint="eastAsia" w:ascii="Times New Roman" w:hAnsi="Times New Roman" w:eastAsia="宋体" w:cs="Times New Roman"/>
          <w:kern w:val="0"/>
          <w:szCs w:val="21"/>
          <w:u w:val="single"/>
          <w:lang w:eastAsia="zh-CN"/>
        </w:rPr>
        <w:t>以甲乙双方后期约定为准</w:t>
      </w:r>
      <w:r>
        <w:rPr>
          <w:rFonts w:hint="eastAsia" w:ascii="Times New Roman" w:hAnsi="Times New Roman" w:eastAsia="宋体" w:cs="Times New Roman"/>
          <w:kern w:val="0"/>
          <w:szCs w:val="21"/>
          <w:u w:val="single"/>
          <w:lang w:val="en-US" w:eastAsia="zh-CN"/>
        </w:rPr>
        <w:t xml:space="preserve">                      </w:t>
      </w:r>
    </w:p>
    <w:p w14:paraId="05100151">
      <w:pPr>
        <w:pStyle w:val="23"/>
        <w:spacing w:line="370" w:lineRule="exact"/>
        <w:ind w:left="1050" w:firstLine="0" w:firstLineChars="0"/>
        <w:jc w:val="left"/>
        <w:rPr>
          <w:rFonts w:hint="default" w:ascii="Times New Roman" w:hAnsi="Times New Roman" w:eastAsia="宋体" w:cs="Times New Roman"/>
          <w:kern w:val="0"/>
          <w:szCs w:val="21"/>
          <w:lang w:val="en-US" w:eastAsia="zh-CN"/>
        </w:rPr>
      </w:pPr>
      <w:r>
        <w:rPr>
          <w:rFonts w:ascii="Times New Roman" w:hAnsi="Times New Roman" w:eastAsia="宋体" w:cs="Times New Roman"/>
          <w:kern w:val="0"/>
          <w:szCs w:val="21"/>
        </w:rPr>
        <w:t>_______________________________________________________________</w:t>
      </w:r>
      <w:r>
        <w:rPr>
          <w:rFonts w:hint="eastAsia" w:ascii="Times New Roman" w:hAnsi="Times New Roman" w:eastAsia="宋体" w:cs="Times New Roman"/>
          <w:kern w:val="0"/>
          <w:szCs w:val="21"/>
          <w:lang w:val="en-US" w:eastAsia="zh-CN"/>
        </w:rPr>
        <w:t xml:space="preserve">   </w:t>
      </w:r>
    </w:p>
    <w:p w14:paraId="389B15D6">
      <w:pPr>
        <w:pStyle w:val="23"/>
        <w:spacing w:line="370" w:lineRule="exact"/>
        <w:ind w:left="420" w:firstLine="0" w:firstLineChars="0"/>
        <w:rPr>
          <w:rFonts w:ascii="Times New Roman" w:hAnsi="Times New Roman" w:eastAsia="宋体" w:cs="Times New Roman"/>
          <w:kern w:val="0"/>
          <w:szCs w:val="21"/>
        </w:rPr>
      </w:pPr>
      <w:r>
        <w:rPr>
          <w:rFonts w:ascii="Times New Roman" w:hAnsi="Times New Roman" w:eastAsia="宋体" w:cs="Times New Roman"/>
          <w:kern w:val="0"/>
          <w:szCs w:val="21"/>
        </w:rPr>
        <w:t>具体计结息方式依中国人民银行关于存款计结息的相关规定执行。</w:t>
      </w:r>
    </w:p>
    <w:p w14:paraId="4360CA37">
      <w:pPr>
        <w:pStyle w:val="23"/>
        <w:numPr>
          <w:ilvl w:val="1"/>
          <w:numId w:val="4"/>
        </w:numPr>
        <w:spacing w:line="370" w:lineRule="exact"/>
        <w:ind w:left="422" w:hanging="422" w:hangingChars="200"/>
        <w:rPr>
          <w:rFonts w:ascii="Times New Roman" w:hAnsi="Times New Roman" w:eastAsia="宋体" w:cs="Times New Roman"/>
          <w:b/>
          <w:bCs/>
          <w:kern w:val="0"/>
          <w:szCs w:val="21"/>
        </w:rPr>
      </w:pPr>
      <w:r>
        <w:rPr>
          <w:rFonts w:ascii="Times New Roman" w:hAnsi="Times New Roman" w:eastAsia="宋体" w:cs="Times New Roman"/>
          <w:b/>
          <w:bCs/>
          <w:kern w:val="0"/>
          <w:szCs w:val="21"/>
        </w:rPr>
        <w:t>本合同保证金条款不因其他条款的无效而无效。在办理业务过程中乙方追加保证金的，视为对本合同保证金条款的自动修改，无需双方另行确认，不影响保证金的质押担保效力。</w:t>
      </w:r>
    </w:p>
    <w:p w14:paraId="2C942738">
      <w:pPr>
        <w:pStyle w:val="23"/>
        <w:numPr>
          <w:ilvl w:val="1"/>
          <w:numId w:val="4"/>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如本合同项下授信属于额度合同项下的，额度合同项下的担保方式同样适用。</w:t>
      </w:r>
    </w:p>
    <w:p w14:paraId="637F12B1">
      <w:pPr>
        <w:pStyle w:val="23"/>
        <w:spacing w:line="370" w:lineRule="exact"/>
        <w:ind w:left="420" w:firstLine="0" w:firstLineChars="0"/>
        <w:rPr>
          <w:rFonts w:ascii="Times New Roman" w:hAnsi="Times New Roman" w:eastAsia="宋体" w:cs="Times New Roman"/>
          <w:kern w:val="0"/>
          <w:szCs w:val="21"/>
        </w:rPr>
      </w:pPr>
      <w:r>
        <w:rPr>
          <w:rFonts w:ascii="Times New Roman" w:hAnsi="Times New Roman" w:eastAsia="宋体" w:cs="Times New Roman"/>
          <w:kern w:val="0"/>
          <w:szCs w:val="21"/>
        </w:rPr>
        <w:t>在甲方承兑乙方汇票之前，乙方还须向甲方提供如下担保：</w:t>
      </w:r>
    </w:p>
    <w:p w14:paraId="6BD6B0FD">
      <w:pPr>
        <w:pStyle w:val="23"/>
        <w:numPr>
          <w:ilvl w:val="0"/>
          <w:numId w:val="5"/>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由________________________________________作为保证人，承担连带保证责任，并签妥相关担保合同。</w:t>
      </w:r>
    </w:p>
    <w:p w14:paraId="49214323">
      <w:pPr>
        <w:pStyle w:val="23"/>
        <w:numPr>
          <w:ilvl w:val="0"/>
          <w:numId w:val="5"/>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由________________________________________作为抵押人/出质人，以其所有或依法有权处分的________________________________________（财产）提供抵押/质押，并签妥相关担保合同，办妥相应的担保手续。</w:t>
      </w:r>
    </w:p>
    <w:p w14:paraId="797F79BA">
      <w:pPr>
        <w:pStyle w:val="23"/>
        <w:numPr>
          <w:ilvl w:val="0"/>
          <w:numId w:val="5"/>
        </w:numPr>
        <w:spacing w:line="370" w:lineRule="exact"/>
        <w:ind w:left="1050" w:leftChars="200" w:hanging="630" w:hangingChars="300"/>
        <w:jc w:val="left"/>
        <w:rPr>
          <w:rFonts w:ascii="Times New Roman" w:hAnsi="Times New Roman" w:eastAsia="宋体" w:cs="Times New Roman"/>
          <w:kern w:val="0"/>
          <w:szCs w:val="21"/>
          <w:u w:val="single"/>
        </w:rPr>
      </w:pPr>
      <w:r>
        <w:rPr>
          <w:rFonts w:hint="eastAsia" w:ascii="Times New Roman" w:hAnsi="Times New Roman" w:eastAsia="宋体" w:cs="Times New Roman"/>
          <w:kern w:val="0"/>
          <w:szCs w:val="21"/>
          <w:u w:val="single"/>
        </w:rPr>
        <w:t>担保措施与</w:t>
      </w:r>
      <w:r>
        <w:rPr>
          <w:rFonts w:hint="eastAsia" w:ascii="Times New Roman" w:hAnsi="Times New Roman" w:eastAsia="宋体" w:cs="Times New Roman"/>
          <w:kern w:val="0"/>
          <w:szCs w:val="21"/>
          <w:u w:val="single"/>
          <w:lang w:val="en-US" w:eastAsia="zh-CN"/>
        </w:rPr>
        <w:t>{{资池字2}}</w:t>
      </w:r>
      <w:r>
        <w:rPr>
          <w:rFonts w:hint="eastAsia" w:ascii="Times New Roman" w:hAnsi="Times New Roman" w:eastAsia="宋体" w:cs="Times New Roman"/>
          <w:kern w:val="0"/>
          <w:szCs w:val="21"/>
          <w:u w:val="single"/>
        </w:rPr>
        <w:t>的《资产池出账专项协议</w:t>
      </w:r>
      <w:r>
        <w:rPr>
          <w:rFonts w:ascii="Times New Roman" w:hAnsi="Times New Roman" w:eastAsia="宋体" w:cs="Times New Roman"/>
          <w:kern w:val="0"/>
          <w:szCs w:val="21"/>
          <w:u w:val="single"/>
        </w:rPr>
        <w:t>》</w:t>
      </w:r>
      <w:r>
        <w:rPr>
          <w:rFonts w:hint="eastAsia" w:ascii="Times New Roman" w:hAnsi="Times New Roman" w:eastAsia="宋体" w:cs="Times New Roman"/>
          <w:kern w:val="0"/>
          <w:szCs w:val="21"/>
          <w:u w:val="single"/>
        </w:rPr>
        <w:t>一致</w:t>
      </w:r>
    </w:p>
    <w:p w14:paraId="74B100B8">
      <w:pPr>
        <w:pStyle w:val="23"/>
        <w:numPr>
          <w:ilvl w:val="1"/>
          <w:numId w:val="4"/>
        </w:numPr>
        <w:spacing w:line="370" w:lineRule="exact"/>
        <w:ind w:firstLineChars="0"/>
        <w:rPr>
          <w:rFonts w:ascii="Times New Roman" w:hAnsi="Times New Roman" w:cs="Times New Roman"/>
          <w:snapToGrid w:val="0"/>
          <w:kern w:val="0"/>
          <w:szCs w:val="21"/>
        </w:rPr>
      </w:pPr>
      <w:r>
        <w:rPr>
          <w:rFonts w:ascii="Times New Roman" w:hAnsi="Times New Roman" w:cs="Times New Roman"/>
          <w:snapToGrid w:val="0"/>
          <w:kern w:val="0"/>
          <w:szCs w:val="21"/>
        </w:rPr>
        <w:t>承兑手续费：</w:t>
      </w:r>
    </w:p>
    <w:p w14:paraId="0FCF2E8A">
      <w:pPr>
        <w:pStyle w:val="23"/>
        <w:numPr>
          <w:ilvl w:val="255"/>
          <w:numId w:val="0"/>
        </w:numPr>
        <w:spacing w:line="370" w:lineRule="exact"/>
        <w:ind w:left="420" w:leftChars="200" w:firstLine="420" w:firstLineChars="200"/>
        <w:rPr>
          <w:rFonts w:ascii="Times New Roman" w:hAnsi="Times New Roman" w:cs="Times New Roman"/>
          <w:snapToGrid w:val="0"/>
          <w:kern w:val="0"/>
          <w:szCs w:val="21"/>
        </w:rPr>
      </w:pPr>
      <w:r>
        <w:rPr>
          <w:rFonts w:ascii="Times New Roman" w:hAnsi="Times New Roman" w:cs="Times New Roman"/>
          <w:szCs w:val="21"/>
        </w:rPr>
        <w:t>除经甲方同意调整的情形外，</w:t>
      </w:r>
      <w:r>
        <w:rPr>
          <w:rFonts w:ascii="Times New Roman" w:hAnsi="Times New Roman" w:cs="Times New Roman"/>
          <w:snapToGrid w:val="0"/>
          <w:kern w:val="0"/>
          <w:szCs w:val="21"/>
        </w:rPr>
        <w:t>乙方须按每张汇票票面金额的</w:t>
      </w:r>
      <w:r>
        <w:rPr>
          <w:rFonts w:hint="eastAsia"/>
          <w:snapToGrid w:val="0"/>
          <w:kern w:val="0"/>
          <w:szCs w:val="21"/>
          <w:u w:val="single"/>
        </w:rPr>
        <w:t>万分之伍</w:t>
      </w:r>
      <w:r>
        <w:rPr>
          <w:rFonts w:ascii="Times New Roman" w:hAnsi="Times New Roman" w:cs="Times New Roman"/>
          <w:snapToGrid w:val="0"/>
          <w:kern w:val="0"/>
          <w:szCs w:val="21"/>
        </w:rPr>
        <w:t>在承兑时向甲方支付承兑手续费。若甲方为乙方签发纸质银行承兑汇票，且单张银行承兑汇票票面金额小于人民币100万元（不含人民币100万元），则乙方按每张汇票票面金额的</w:t>
      </w:r>
      <w:r>
        <w:rPr>
          <w:rFonts w:hint="eastAsia"/>
          <w:snapToGrid w:val="0"/>
          <w:kern w:val="0"/>
          <w:szCs w:val="21"/>
          <w:u w:val="single"/>
        </w:rPr>
        <w:t>万分之伍</w:t>
      </w:r>
      <w:r>
        <w:rPr>
          <w:rFonts w:ascii="Times New Roman" w:hAnsi="Times New Roman" w:cs="Times New Roman"/>
          <w:snapToGrid w:val="0"/>
          <w:kern w:val="0"/>
          <w:szCs w:val="21"/>
        </w:rPr>
        <w:t>在承兑时向甲方支付承兑手续费。单张汇票（含纸票和电票）的承兑手续费最低为人民币100元，即：若单张汇票按以上费率计算手续费金额低于人民币100元的，则乙方按单张人民币100元向甲方支付承兑手续费。</w:t>
      </w:r>
    </w:p>
    <w:p w14:paraId="36AF1C5F">
      <w:pPr>
        <w:pStyle w:val="23"/>
        <w:widowControl/>
        <w:numPr>
          <w:ilvl w:val="255"/>
          <w:numId w:val="0"/>
        </w:numPr>
        <w:spacing w:line="370" w:lineRule="exact"/>
        <w:jc w:val="left"/>
        <w:rPr>
          <w:rFonts w:ascii="Times New Roman" w:hAnsi="Times New Roman" w:cs="Times New Roman"/>
          <w:szCs w:val="21"/>
        </w:rPr>
      </w:pPr>
      <w:r>
        <w:rPr>
          <w:rFonts w:ascii="Times New Roman" w:hAnsi="Times New Roman" w:cs="Times New Roman"/>
          <w:szCs w:val="21"/>
        </w:rPr>
        <w:t>3.5  敞口风险管理费：</w:t>
      </w:r>
    </w:p>
    <w:p w14:paraId="36C53BD0">
      <w:pPr>
        <w:pStyle w:val="23"/>
        <w:widowControl/>
        <w:numPr>
          <w:ilvl w:val="255"/>
          <w:numId w:val="0"/>
        </w:numPr>
        <w:spacing w:line="348" w:lineRule="exact"/>
        <w:ind w:left="531" w:firstLine="420" w:firstLineChars="200"/>
        <w:jc w:val="left"/>
        <w:rPr>
          <w:rFonts w:ascii="Times New Roman" w:hAnsi="Times New Roman" w:cs="Times New Roman"/>
          <w:snapToGrid w:val="0"/>
          <w:kern w:val="0"/>
          <w:szCs w:val="21"/>
        </w:rPr>
      </w:pPr>
      <w:r>
        <w:rPr>
          <w:rFonts w:ascii="Times New Roman" w:hAnsi="Times New Roman" w:cs="Times New Roman"/>
          <w:snapToGrid w:val="0"/>
          <w:kern w:val="0"/>
          <w:szCs w:val="21"/>
        </w:rPr>
        <w:t xml:space="preserve">在乙方向甲方提交承兑申请时，若下述编号为__________的《综合授信额度合同》（或编号为：_____________________________的________________________________合同）下债务人欠甲方的全部债务、甲方受理中的全部债务以及本次承兑申请将产生的债务，被乙方及或经甲方认可的第三方出质人提供的保证金、甲方本行存单、记账式国债或政策性银行金融债质押担保，且构成足额担保，则不收取敞口风险管理费。质物的确认，以乙方提交承兑申请时，甲方系统所显示的甲方所控制的最新质物详情为准。其他情形下，除经甲方同意调整的情形外，乙方须按每张汇票金额的_____，在承兑时向甲方支付敞口风险管理费。             </w:t>
      </w:r>
    </w:p>
    <w:p w14:paraId="7D813ADE">
      <w:pPr>
        <w:pStyle w:val="23"/>
        <w:widowControl/>
        <w:numPr>
          <w:ilvl w:val="255"/>
          <w:numId w:val="0"/>
        </w:numPr>
        <w:spacing w:line="370" w:lineRule="exact"/>
        <w:jc w:val="left"/>
        <w:rPr>
          <w:rFonts w:ascii="Times New Roman" w:hAnsi="Times New Roman" w:cs="Times New Roman"/>
          <w:b/>
          <w:bCs/>
          <w:szCs w:val="21"/>
        </w:rPr>
      </w:pPr>
      <w:r>
        <w:rPr>
          <w:rFonts w:ascii="Times New Roman" w:hAnsi="Times New Roman" w:cs="Times New Roman"/>
          <w:b/>
          <w:bCs/>
          <w:szCs w:val="21"/>
        </w:rPr>
        <w:t>3.6  退费：</w:t>
      </w:r>
    </w:p>
    <w:p w14:paraId="59557BEA">
      <w:pPr>
        <w:pStyle w:val="23"/>
        <w:widowControl/>
        <w:numPr>
          <w:ilvl w:val="255"/>
          <w:numId w:val="0"/>
        </w:numPr>
        <w:spacing w:line="370" w:lineRule="exact"/>
        <w:ind w:left="420" w:leftChars="200" w:firstLine="422" w:firstLineChars="200"/>
        <w:jc w:val="left"/>
        <w:rPr>
          <w:rFonts w:ascii="Times New Roman" w:hAnsi="Times New Roman" w:cs="Times New Roman"/>
          <w:b/>
          <w:bCs/>
          <w:snapToGrid w:val="0"/>
          <w:kern w:val="0"/>
          <w:szCs w:val="21"/>
        </w:rPr>
      </w:pPr>
      <w:r>
        <w:rPr>
          <w:rFonts w:ascii="Times New Roman" w:hAnsi="Times New Roman" w:cs="Times New Roman"/>
          <w:b/>
          <w:bCs/>
          <w:snapToGrid w:val="0"/>
          <w:kern w:val="0"/>
          <w:szCs w:val="21"/>
        </w:rPr>
        <w:t>甲方承兑后，除经甲方同意调整的情形外，乙方对经甲方承兑但尚未交付收款人的汇票作未用退回的，甲方应向乙方退回自票据承兑日至承兑到期日期间对应的敞口风险管理费，甲方有权不予退回承兑手续费。</w:t>
      </w:r>
    </w:p>
    <w:p w14:paraId="19195CCD">
      <w:pPr>
        <w:spacing w:line="370" w:lineRule="exact"/>
        <w:rPr>
          <w:b/>
          <w:bCs/>
          <w:kern w:val="0"/>
          <w:szCs w:val="21"/>
        </w:rPr>
      </w:pPr>
    </w:p>
    <w:p w14:paraId="7ED9DC0D">
      <w:pPr>
        <w:pStyle w:val="23"/>
        <w:numPr>
          <w:ilvl w:val="0"/>
          <w:numId w:val="1"/>
        </w:numPr>
        <w:spacing w:line="370" w:lineRule="exact"/>
        <w:ind w:left="0" w:firstLine="0" w:firstLineChars="0"/>
        <w:jc w:val="center"/>
        <w:outlineLvl w:val="1"/>
        <w:rPr>
          <w:rFonts w:ascii="Times New Roman" w:hAnsi="Times New Roman" w:eastAsia="宋体" w:cs="Times New Roman"/>
          <w:b/>
          <w:bCs/>
          <w:kern w:val="0"/>
          <w:szCs w:val="21"/>
        </w:rPr>
      </w:pPr>
      <w:r>
        <w:rPr>
          <w:rFonts w:ascii="Times New Roman" w:hAnsi="Times New Roman" w:eastAsia="宋体" w:cs="Times New Roman"/>
          <w:b/>
          <w:bCs/>
          <w:kern w:val="0"/>
          <w:szCs w:val="21"/>
        </w:rPr>
        <w:t>承兑与到期付款</w:t>
      </w:r>
    </w:p>
    <w:p w14:paraId="0BBC05B3">
      <w:pPr>
        <w:pStyle w:val="23"/>
        <w:numPr>
          <w:ilvl w:val="1"/>
          <w:numId w:val="6"/>
        </w:numPr>
        <w:spacing w:line="370" w:lineRule="exact"/>
        <w:ind w:left="422" w:hanging="422" w:hangingChars="200"/>
        <w:rPr>
          <w:rFonts w:ascii="Times New Roman" w:hAnsi="Times New Roman" w:eastAsia="宋体" w:cs="Times New Roman"/>
          <w:b/>
          <w:kern w:val="0"/>
          <w:szCs w:val="21"/>
        </w:rPr>
      </w:pPr>
      <w:r>
        <w:rPr>
          <w:rFonts w:ascii="Times New Roman" w:hAnsi="Times New Roman" w:eastAsia="宋体" w:cs="Times New Roman"/>
          <w:b/>
          <w:kern w:val="0"/>
          <w:szCs w:val="21"/>
        </w:rPr>
        <w:t>甲方在每次承兑前均有权审查下列事项是否已满足，并根据审查情况自行决定是否承兑，但此类审查不构成甲方的义务：</w:t>
      </w:r>
    </w:p>
    <w:p w14:paraId="6197CE67">
      <w:pPr>
        <w:pStyle w:val="23"/>
        <w:numPr>
          <w:ilvl w:val="0"/>
          <w:numId w:val="7"/>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乙方已按照有关法律法规的规定，办妥与本合同项下授信有关的政府许可、批准、登记、交付等法定手续（如有）；</w:t>
      </w:r>
    </w:p>
    <w:p w14:paraId="490DDA56">
      <w:pPr>
        <w:pStyle w:val="23"/>
        <w:numPr>
          <w:ilvl w:val="0"/>
          <w:numId w:val="7"/>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有关的担保合同及担保权已生效（如有）；</w:t>
      </w:r>
    </w:p>
    <w:p w14:paraId="195F7A46">
      <w:pPr>
        <w:pStyle w:val="23"/>
        <w:numPr>
          <w:ilvl w:val="0"/>
          <w:numId w:val="7"/>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乙方已按约定交存保证金，且已付清与本合同有关的费用（如有）；</w:t>
      </w:r>
    </w:p>
    <w:p w14:paraId="4EF25E0B">
      <w:pPr>
        <w:pStyle w:val="23"/>
        <w:numPr>
          <w:ilvl w:val="0"/>
          <w:numId w:val="7"/>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乙方已满足了本合同约定的承兑条件；</w:t>
      </w:r>
    </w:p>
    <w:p w14:paraId="5BC43C13">
      <w:pPr>
        <w:pStyle w:val="23"/>
        <w:numPr>
          <w:ilvl w:val="0"/>
          <w:numId w:val="7"/>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乙方及/或担保人（如有）经营和财务状况未发生不利变化；</w:t>
      </w:r>
    </w:p>
    <w:p w14:paraId="1B602479">
      <w:pPr>
        <w:pStyle w:val="23"/>
        <w:numPr>
          <w:ilvl w:val="0"/>
          <w:numId w:val="7"/>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乙方还款意愿和/或担保人（如有）担保意愿未发生变化；</w:t>
      </w:r>
    </w:p>
    <w:p w14:paraId="604E6BAC">
      <w:pPr>
        <w:pStyle w:val="23"/>
        <w:numPr>
          <w:ilvl w:val="0"/>
          <w:numId w:val="7"/>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乙方未发生违反本合同约定或违反乙方与甲方所签署任何其他合同文件约定之情形。</w:t>
      </w:r>
    </w:p>
    <w:p w14:paraId="33563C3A">
      <w:pPr>
        <w:pStyle w:val="23"/>
        <w:numPr>
          <w:ilvl w:val="1"/>
          <w:numId w:val="6"/>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乙方保证于承兑汇票到期日前将应付票款及其它约定的费用足额存入在甲方开立的结算账户。</w:t>
      </w:r>
    </w:p>
    <w:p w14:paraId="5DBD2762">
      <w:pPr>
        <w:pStyle w:val="23"/>
        <w:numPr>
          <w:ilvl w:val="1"/>
          <w:numId w:val="6"/>
        </w:numPr>
        <w:spacing w:line="370" w:lineRule="exact"/>
        <w:ind w:left="422" w:hanging="422" w:hangingChars="200"/>
        <w:rPr>
          <w:rFonts w:ascii="Times New Roman" w:hAnsi="Times New Roman" w:cs="Times New Roman"/>
          <w:b/>
          <w:bCs/>
          <w:kern w:val="0"/>
          <w:szCs w:val="21"/>
        </w:rPr>
      </w:pPr>
      <w:r>
        <w:rPr>
          <w:rFonts w:ascii="Times New Roman" w:hAnsi="Times New Roman" w:cs="Times New Roman"/>
          <w:b/>
          <w:bCs/>
          <w:kern w:val="0"/>
          <w:szCs w:val="21"/>
        </w:rPr>
        <w:t>承兑汇票到期日，乙方如不能足额交付票款导致甲方垫款的，甲方将对垫款从垫款之日起按照每天万分之五计收罚息。罚息按实际垫款天数计收，日利率=年利率/360。甲方出具的垫款会计凭证为乙方所欠债务的有效凭证，乙方对此无异议。</w:t>
      </w:r>
    </w:p>
    <w:p w14:paraId="5775E4A8">
      <w:pPr>
        <w:pStyle w:val="23"/>
        <w:numPr>
          <w:ilvl w:val="1"/>
          <w:numId w:val="6"/>
        </w:numPr>
        <w:spacing w:line="370" w:lineRule="exact"/>
        <w:ind w:left="422" w:hanging="422" w:hangingChars="200"/>
        <w:rPr>
          <w:rFonts w:ascii="Times New Roman" w:hAnsi="Times New Roman" w:eastAsia="宋体" w:cs="Times New Roman"/>
          <w:b/>
          <w:bCs/>
          <w:kern w:val="0"/>
          <w:szCs w:val="21"/>
        </w:rPr>
      </w:pPr>
      <w:r>
        <w:rPr>
          <w:rFonts w:ascii="Times New Roman" w:hAnsi="Times New Roman" w:eastAsia="宋体" w:cs="Times New Roman"/>
          <w:b/>
          <w:bCs/>
          <w:kern w:val="0"/>
          <w:szCs w:val="21"/>
        </w:rPr>
        <w:t>乙方不可撤销的授权甲方从保证金和乙方在平安银行所有营业机构开立的任何存款账户中扣收承兑手续费和其他有关费用、承兑的到期票款本息或垫款本息。</w:t>
      </w:r>
      <w:r>
        <w:rPr>
          <w:rFonts w:ascii="Times New Roman" w:hAnsi="Times New Roman" w:cs="Times New Roman"/>
          <w:snapToGrid w:val="0"/>
          <w:color w:val="000000" w:themeColor="text1"/>
          <w:kern w:val="0"/>
          <w:szCs w:val="21"/>
          <w14:textFill>
            <w14:solidFill>
              <w14:schemeClr w14:val="tx1"/>
            </w14:solidFill>
          </w14:textFill>
        </w:rPr>
        <w:t>乙方款</w:t>
      </w:r>
      <w:r>
        <w:rPr>
          <w:rFonts w:ascii="Times New Roman" w:hAnsi="Times New Roman" w:cs="Times New Roman"/>
          <w:bCs/>
          <w:snapToGrid w:val="0"/>
          <w:color w:val="000000" w:themeColor="text1"/>
          <w:kern w:val="0"/>
          <w:szCs w:val="21"/>
          <w14:textFill>
            <w14:solidFill>
              <w14:schemeClr w14:val="tx1"/>
            </w14:solidFill>
          </w14:textFill>
        </w:rPr>
        <w:t>项不足以清偿乙方所欠甲方全部债务时，</w:t>
      </w:r>
      <w:r>
        <w:rPr>
          <w:rFonts w:ascii="Times New Roman" w:hAnsi="Times New Roman" w:cs="Times New Roman"/>
          <w:snapToGrid w:val="0"/>
          <w:color w:val="000000" w:themeColor="text1"/>
          <w:kern w:val="0"/>
          <w:szCs w:val="21"/>
          <w14:textFill>
            <w14:solidFill>
              <w14:schemeClr w14:val="tx1"/>
            </w14:solidFill>
          </w14:textFill>
        </w:rPr>
        <w:t>垫款逾期90天以内的（含90天），垫款本息的偿还顺序为：（1）费用；（2）利息（含罚息、复利）；（3）本金。垫款逾期90天以上的，垫款本息的偿还顺序为：（1）费用；（2）本金；（3）利息（含罚息、复利）。</w:t>
      </w:r>
    </w:p>
    <w:p w14:paraId="7BD4BA16">
      <w:pPr>
        <w:spacing w:line="370" w:lineRule="exact"/>
        <w:ind w:left="1" w:firstLine="420" w:firstLineChars="200"/>
        <w:rPr>
          <w:kern w:val="0"/>
          <w:szCs w:val="21"/>
        </w:rPr>
      </w:pPr>
    </w:p>
    <w:p w14:paraId="54A337EB">
      <w:pPr>
        <w:pStyle w:val="23"/>
        <w:numPr>
          <w:ilvl w:val="0"/>
          <w:numId w:val="1"/>
        </w:numPr>
        <w:spacing w:line="370" w:lineRule="exact"/>
        <w:ind w:left="0" w:firstLine="0" w:firstLineChars="0"/>
        <w:jc w:val="center"/>
        <w:outlineLvl w:val="1"/>
        <w:rPr>
          <w:rFonts w:ascii="Times New Roman" w:hAnsi="Times New Roman" w:eastAsia="宋体" w:cs="Times New Roman"/>
          <w:b/>
          <w:bCs/>
          <w:kern w:val="0"/>
          <w:szCs w:val="21"/>
        </w:rPr>
      </w:pPr>
      <w:r>
        <w:rPr>
          <w:rFonts w:ascii="Times New Roman" w:hAnsi="Times New Roman" w:eastAsia="宋体" w:cs="Times New Roman"/>
          <w:b/>
          <w:bCs/>
          <w:kern w:val="0"/>
          <w:szCs w:val="21"/>
        </w:rPr>
        <w:t>乙方声明与保证</w:t>
      </w:r>
    </w:p>
    <w:p w14:paraId="75CF8DA0">
      <w:pPr>
        <w:pStyle w:val="23"/>
        <w:numPr>
          <w:ilvl w:val="1"/>
          <w:numId w:val="8"/>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乙方是其所在地的司法辖区内合法设立、有效存续及拥有良好声誉的公司，拥有全部的公司权利及政府许可和批准从事目前所从事的业务，自身及控股股东信用状态良好。</w:t>
      </w:r>
    </w:p>
    <w:p w14:paraId="1552637C">
      <w:pPr>
        <w:pStyle w:val="23"/>
        <w:numPr>
          <w:ilvl w:val="1"/>
          <w:numId w:val="8"/>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乙方已完成签署本合同所需的所有授权和审批，签署本合同是乙方真实意思表示，不会导致违反其公司章程、相关法律法规规定及/或其与任何第三方签订的协议或承诺。乙方签署本合同时未违反任何有关环境保护、节能减排、降低污染的法律、法规与规章，并承诺签署本合同后严格遵守该类法律、法规与规章。</w:t>
      </w:r>
    </w:p>
    <w:p w14:paraId="4F215222">
      <w:pPr>
        <w:pStyle w:val="23"/>
        <w:numPr>
          <w:ilvl w:val="1"/>
          <w:numId w:val="8"/>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除本合同签署前已书面通知甲方以外，乙方不存在任何可能对本合同履行产生重大不利影响的诉讼、仲裁、执行、申诉、复议等程序及其他事件或情况。</w:t>
      </w:r>
    </w:p>
    <w:p w14:paraId="0509008F">
      <w:pPr>
        <w:pStyle w:val="23"/>
        <w:numPr>
          <w:ilvl w:val="1"/>
          <w:numId w:val="8"/>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乙方应根据甲方要求及时提供财务报表、所有开户行账号及存贷款余额情况及甲方要求的其他相关资料，保证所提供文件和资料的真实、完整、客观，不含有任何虚假记载、误导性陈述或重大遗漏，财务报表为严格依据中国会计准则编制。</w:t>
      </w:r>
    </w:p>
    <w:p w14:paraId="4A44653F">
      <w:pPr>
        <w:pStyle w:val="23"/>
        <w:numPr>
          <w:ilvl w:val="1"/>
          <w:numId w:val="8"/>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乙方就本合同汇票承兑事宜进一步承诺如下：</w:t>
      </w:r>
    </w:p>
    <w:p w14:paraId="44CBB877">
      <w:pPr>
        <w:pStyle w:val="23"/>
        <w:numPr>
          <w:ilvl w:val="0"/>
          <w:numId w:val="9"/>
        </w:numPr>
        <w:spacing w:line="370" w:lineRule="exact"/>
        <w:ind w:left="1134" w:hanging="644" w:firstLineChars="0"/>
        <w:rPr>
          <w:rFonts w:ascii="Times New Roman" w:hAnsi="Times New Roman" w:eastAsia="宋体" w:cs="Times New Roman"/>
          <w:kern w:val="0"/>
          <w:szCs w:val="21"/>
        </w:rPr>
      </w:pPr>
      <w:r>
        <w:rPr>
          <w:rFonts w:ascii="Times New Roman" w:hAnsi="Times New Roman" w:eastAsia="宋体" w:cs="Times New Roman"/>
          <w:kern w:val="0"/>
          <w:szCs w:val="21"/>
        </w:rPr>
        <w:t>乙方保证本合同项下承兑汇票所对应的交易真实、合法；并承诺上述票据以及持票人与</w:t>
      </w:r>
      <w:r>
        <w:rPr>
          <w:rFonts w:ascii="Times New Roman" w:hAnsi="Times New Roman" w:cs="Times New Roman"/>
          <w:szCs w:val="21"/>
        </w:rPr>
        <w:t>乙方之间发生的任何纠纷均由乙方与其他方自行解决，概与甲方无关，乙方仍按本合同履行义务。</w:t>
      </w:r>
    </w:p>
    <w:p w14:paraId="4FB25601">
      <w:pPr>
        <w:pStyle w:val="23"/>
        <w:numPr>
          <w:ilvl w:val="0"/>
          <w:numId w:val="9"/>
        </w:numPr>
        <w:spacing w:line="370" w:lineRule="exact"/>
        <w:ind w:left="1134" w:hanging="644" w:firstLineChars="0"/>
        <w:rPr>
          <w:rFonts w:ascii="Times New Roman" w:hAnsi="Times New Roman" w:eastAsia="宋体" w:cs="Times New Roman"/>
          <w:kern w:val="0"/>
          <w:szCs w:val="21"/>
        </w:rPr>
      </w:pPr>
      <w:r>
        <w:rPr>
          <w:rFonts w:ascii="Times New Roman" w:hAnsi="Times New Roman" w:cs="Times New Roman"/>
          <w:szCs w:val="21"/>
        </w:rPr>
        <w:t>乙方应在汇票开出后两个月内向甲方提供对应的增值税发票或发票的复印件，并提供原件供甲方进行核对。</w:t>
      </w:r>
    </w:p>
    <w:p w14:paraId="2DFE8E8A">
      <w:pPr>
        <w:pStyle w:val="23"/>
        <w:numPr>
          <w:ilvl w:val="0"/>
          <w:numId w:val="9"/>
        </w:numPr>
        <w:spacing w:line="370" w:lineRule="exact"/>
        <w:ind w:left="1134" w:hanging="644" w:firstLineChars="0"/>
        <w:rPr>
          <w:rFonts w:ascii="Times New Roman" w:hAnsi="Times New Roman" w:eastAsia="宋体" w:cs="Times New Roman"/>
          <w:kern w:val="0"/>
          <w:szCs w:val="21"/>
        </w:rPr>
      </w:pPr>
      <w:r>
        <w:rPr>
          <w:rFonts w:ascii="Times New Roman" w:hAnsi="Times New Roman" w:cs="Times New Roman"/>
          <w:szCs w:val="21"/>
        </w:rPr>
        <w:t>乙方提供的保证金必须来源于乙方自有货币资金，且保证金必须进入保证金专户，专项用于承兑汇票项下的支付，不得转出保证金账户或用于其他用途。</w:t>
      </w:r>
    </w:p>
    <w:p w14:paraId="01AE6209">
      <w:pPr>
        <w:spacing w:line="370" w:lineRule="exact"/>
        <w:rPr>
          <w:b/>
          <w:bCs/>
          <w:kern w:val="0"/>
          <w:szCs w:val="21"/>
        </w:rPr>
      </w:pPr>
    </w:p>
    <w:p w14:paraId="0AD099EF">
      <w:pPr>
        <w:pStyle w:val="23"/>
        <w:numPr>
          <w:ilvl w:val="0"/>
          <w:numId w:val="1"/>
        </w:numPr>
        <w:spacing w:line="370" w:lineRule="exact"/>
        <w:ind w:left="0" w:firstLine="0" w:firstLineChars="0"/>
        <w:jc w:val="center"/>
        <w:outlineLvl w:val="1"/>
        <w:rPr>
          <w:rFonts w:ascii="Times New Roman" w:hAnsi="Times New Roman" w:eastAsia="宋体" w:cs="Times New Roman"/>
          <w:b/>
          <w:bCs/>
          <w:kern w:val="0"/>
          <w:szCs w:val="21"/>
        </w:rPr>
      </w:pPr>
      <w:r>
        <w:rPr>
          <w:rFonts w:ascii="Times New Roman" w:hAnsi="Times New Roman" w:eastAsia="宋体" w:cs="Times New Roman"/>
          <w:b/>
          <w:bCs/>
          <w:kern w:val="0"/>
          <w:szCs w:val="21"/>
        </w:rPr>
        <w:t>乙方的权利与义务</w:t>
      </w:r>
    </w:p>
    <w:p w14:paraId="0BF3FB57">
      <w:pPr>
        <w:pStyle w:val="23"/>
        <w:numPr>
          <w:ilvl w:val="1"/>
          <w:numId w:val="10"/>
        </w:numPr>
        <w:spacing w:line="370" w:lineRule="exact"/>
        <w:ind w:left="420" w:hanging="420" w:hangingChars="200"/>
        <w:rPr>
          <w:rFonts w:ascii="Times New Roman" w:hAnsi="Times New Roman" w:eastAsia="宋体" w:cs="Times New Roman"/>
          <w:bCs/>
          <w:snapToGrid w:val="0"/>
          <w:kern w:val="0"/>
          <w:szCs w:val="21"/>
        </w:rPr>
      </w:pPr>
      <w:bookmarkStart w:id="0" w:name="_Hlk527728729"/>
      <w:r>
        <w:rPr>
          <w:rFonts w:ascii="Times New Roman" w:hAnsi="Times New Roman" w:eastAsia="宋体" w:cs="Times New Roman"/>
          <w:bCs/>
          <w:snapToGrid w:val="0"/>
          <w:kern w:val="0"/>
          <w:szCs w:val="21"/>
        </w:rPr>
        <w:t>乙方有权根据本合同约定的条件和条款向甲方申请办理汇票承兑业务，并由甲方根据本合同约定审查和自主决定是否接受业务申请；因国家宏观调控政策变化、监管部门对甲方提出控制信贷规模或信贷投向的要求及</w:t>
      </w:r>
      <w:r>
        <w:rPr>
          <w:rFonts w:ascii="Times New Roman" w:hAnsi="Times New Roman" w:eastAsia="宋体" w:cs="Times New Roman"/>
          <w:snapToGrid w:val="0"/>
          <w:kern w:val="0"/>
          <w:szCs w:val="21"/>
        </w:rPr>
        <w:t>/或</w:t>
      </w:r>
      <w:r>
        <w:rPr>
          <w:rFonts w:ascii="Times New Roman" w:hAnsi="Times New Roman" w:eastAsia="宋体" w:cs="Times New Roman"/>
          <w:bCs/>
          <w:snapToGrid w:val="0"/>
          <w:kern w:val="0"/>
          <w:szCs w:val="21"/>
        </w:rPr>
        <w:t>其他原因甲方认为无法或不适合继续提供本合同项下汇票承兑业务的，甲方有权拒绝受理乙方所提业务申请。</w:t>
      </w:r>
    </w:p>
    <w:bookmarkEnd w:id="0"/>
    <w:p w14:paraId="5D208B9E">
      <w:pPr>
        <w:pStyle w:val="23"/>
        <w:numPr>
          <w:ilvl w:val="1"/>
          <w:numId w:val="10"/>
        </w:numPr>
        <w:spacing w:line="370" w:lineRule="exact"/>
        <w:ind w:left="420" w:hanging="420" w:hangingChars="200"/>
        <w:rPr>
          <w:rFonts w:ascii="Times New Roman" w:hAnsi="Times New Roman" w:eastAsia="宋体" w:cs="Times New Roman"/>
          <w:bCs/>
          <w:snapToGrid w:val="0"/>
          <w:kern w:val="0"/>
          <w:szCs w:val="21"/>
        </w:rPr>
      </w:pPr>
      <w:bookmarkStart w:id="1" w:name="_Hlk527728737"/>
      <w:r>
        <w:rPr>
          <w:rFonts w:ascii="Times New Roman" w:hAnsi="Times New Roman" w:eastAsia="宋体" w:cs="Times New Roman"/>
          <w:bCs/>
          <w:snapToGrid w:val="0"/>
          <w:kern w:val="0"/>
          <w:szCs w:val="21"/>
        </w:rPr>
        <w:t>乙方应当按本合同的约定办理汇票承兑业务并按时足额履行有关付款（还款）义务，包括但不限于因乙方未及时支付应付票款等款项导致发生甲方对外被动垫款时有关垫款本金、利息（包括复利、逾期和挪用的罚息等）及其他费用（如有）的还款义务。</w:t>
      </w:r>
    </w:p>
    <w:bookmarkEnd w:id="1"/>
    <w:p w14:paraId="130DA2C9">
      <w:pPr>
        <w:pStyle w:val="23"/>
        <w:numPr>
          <w:ilvl w:val="1"/>
          <w:numId w:val="10"/>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乙方在甲方开立账户，同等条件下优先在甲方办理存款、结算、账户及/或融资等业务。</w:t>
      </w:r>
    </w:p>
    <w:p w14:paraId="4C35AE9C">
      <w:pPr>
        <w:pStyle w:val="23"/>
        <w:numPr>
          <w:ilvl w:val="1"/>
          <w:numId w:val="10"/>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乙方为集团客户时，应在发生净资产10％以上的关联交易之日起十日内向甲方书面报告，报告内容包括交易各方的关联关系、交易项目和交易性质、交易金额或相应比例以及定价政策（包括没有金额或只有象征性金额的交易）。前述集团客户是指具有以下任一特征的企事业法人：（a）在股权上或者经营上直接或间接控制其他企事业法人或被其他企事业法人控制的；（b）共同被第三方企事业法人所控制的；（c）主要投资者个人、关键管理人员或与其关系密切的家庭成员（包括三代以内直系亲属关系和二代以内旁系亲属关系）共同直接控制或间接控制的；或（d）存在其他关联关系，可能不按公允价格原则转移资产和利润，应视同集团客户进行授信管理的。</w:t>
      </w:r>
    </w:p>
    <w:p w14:paraId="35280D7E">
      <w:pPr>
        <w:pStyle w:val="23"/>
        <w:numPr>
          <w:ilvl w:val="1"/>
          <w:numId w:val="10"/>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bCs/>
          <w:kern w:val="0"/>
          <w:szCs w:val="21"/>
        </w:rPr>
        <w:t>乙方</w:t>
      </w:r>
      <w:r>
        <w:rPr>
          <w:rFonts w:ascii="Times New Roman" w:hAnsi="Times New Roman" w:eastAsia="宋体" w:cs="Times New Roman"/>
          <w:kern w:val="0"/>
          <w:szCs w:val="21"/>
        </w:rPr>
        <w:t>有下列情形之一时，应提前三十天书面通知甲方并取得甲方书面同意后方可进行</w:t>
      </w:r>
      <w:r>
        <w:rPr>
          <w:rFonts w:ascii="Times New Roman" w:hAnsi="Times New Roman" w:eastAsia="宋体" w:cs="Times New Roman"/>
          <w:bCs/>
          <w:kern w:val="0"/>
          <w:szCs w:val="21"/>
        </w:rPr>
        <w:t>（但依甲方合理判断未对本合同履行造成重大影响的情形除外）</w:t>
      </w:r>
      <w:r>
        <w:rPr>
          <w:rFonts w:ascii="Times New Roman" w:hAnsi="Times New Roman" w:eastAsia="宋体" w:cs="Times New Roman"/>
          <w:kern w:val="0"/>
          <w:szCs w:val="21"/>
        </w:rPr>
        <w:t>：</w:t>
      </w:r>
    </w:p>
    <w:p w14:paraId="2B0AC8AE">
      <w:pPr>
        <w:pStyle w:val="23"/>
        <w:numPr>
          <w:ilvl w:val="0"/>
          <w:numId w:val="11"/>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经营体制、股权结构、产权组织形式或主营业务发生重大变化，包括但不限于实施承包、租赁经营、联营、股份制改造、合（兼）并、收购、合资（合作）、分立、设立子公司、发生托管（接管）、企业出售、产权转让、或减资等；</w:t>
      </w:r>
    </w:p>
    <w:p w14:paraId="47928BC6">
      <w:pPr>
        <w:pStyle w:val="23"/>
        <w:numPr>
          <w:ilvl w:val="0"/>
          <w:numId w:val="11"/>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出售、赠与、出借、转移、抵（质）押或以任何其他方式处分价值超过其净资产10%的资产；</w:t>
      </w:r>
    </w:p>
    <w:p w14:paraId="1C06A6EA">
      <w:pPr>
        <w:pStyle w:val="23"/>
        <w:numPr>
          <w:ilvl w:val="0"/>
          <w:numId w:val="11"/>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分红超过当年税后净利润的30%或者超过全部未分配利润的20%；</w:t>
      </w:r>
    </w:p>
    <w:p w14:paraId="18F63145">
      <w:pPr>
        <w:pStyle w:val="23"/>
        <w:numPr>
          <w:ilvl w:val="0"/>
          <w:numId w:val="11"/>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本合同额度生效后新增对外投资超过其净资产的20%；</w:t>
      </w:r>
    </w:p>
    <w:p w14:paraId="5EB3C9F0">
      <w:pPr>
        <w:pStyle w:val="23"/>
        <w:numPr>
          <w:ilvl w:val="0"/>
          <w:numId w:val="11"/>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更改与其他银行的债务条款，或提前清偿其他长期债务；</w:t>
      </w:r>
    </w:p>
    <w:p w14:paraId="7BA6B4DE">
      <w:pPr>
        <w:pStyle w:val="23"/>
        <w:numPr>
          <w:ilvl w:val="0"/>
          <w:numId w:val="11"/>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偿还对乙方股东或实际控制人的债务；</w:t>
      </w:r>
    </w:p>
    <w:p w14:paraId="3F40DFB8">
      <w:pPr>
        <w:pStyle w:val="23"/>
        <w:numPr>
          <w:ilvl w:val="0"/>
          <w:numId w:val="11"/>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向其他银行申请授信，或向第三方提供担保，或减免第三方债务，涉及债务金额超过其净资产的20%。</w:t>
      </w:r>
    </w:p>
    <w:p w14:paraId="2DB8DF57">
      <w:pPr>
        <w:pStyle w:val="23"/>
        <w:numPr>
          <w:ilvl w:val="1"/>
          <w:numId w:val="10"/>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乙方保证在本合同履行期内保持合理的财务比率。</w:t>
      </w:r>
    </w:p>
    <w:p w14:paraId="032F8BF0">
      <w:pPr>
        <w:pStyle w:val="23"/>
        <w:spacing w:line="370" w:lineRule="exact"/>
        <w:ind w:left="434" w:firstLine="0" w:firstLineChars="0"/>
        <w:rPr>
          <w:rFonts w:ascii="Times New Roman" w:hAnsi="Times New Roman" w:cs="Times New Roman"/>
          <w:snapToGrid w:val="0"/>
          <w:kern w:val="0"/>
          <w:szCs w:val="21"/>
          <w:u w:val="single"/>
        </w:rPr>
      </w:pPr>
      <w:r>
        <w:rPr>
          <w:rFonts w:ascii="Times New Roman" w:hAnsi="Times New Roman" w:cs="Times New Roman"/>
          <w:snapToGrid w:val="0"/>
          <w:kern w:val="0"/>
          <w:szCs w:val="21"/>
        </w:rPr>
        <w:t>□</w:t>
      </w:r>
      <w:r>
        <w:rPr>
          <w:rFonts w:ascii="Times New Roman" w:hAnsi="Times New Roman" w:cs="Times New Roman"/>
          <w:snapToGrid w:val="0"/>
          <w:kern w:val="0"/>
          <w:szCs w:val="21"/>
        </w:rPr>
        <w:tab/>
      </w:r>
      <w:r>
        <w:rPr>
          <w:rFonts w:ascii="Times New Roman" w:hAnsi="Times New Roman" w:cs="Times New Roman"/>
          <w:bCs/>
          <w:snapToGrid w:val="0"/>
          <w:kern w:val="0"/>
          <w:szCs w:val="21"/>
        </w:rPr>
        <w:t>本合同履行期内</w:t>
      </w:r>
      <w:r>
        <w:rPr>
          <w:rFonts w:ascii="Times New Roman" w:hAnsi="Times New Roman" w:cs="Times New Roman"/>
          <w:snapToGrid w:val="0"/>
          <w:kern w:val="0"/>
          <w:szCs w:val="21"/>
        </w:rPr>
        <w:t>财务指标应保持始终满足以下标准：________________________</w:t>
      </w:r>
    </w:p>
    <w:p w14:paraId="5432ADB9">
      <w:pPr>
        <w:pStyle w:val="23"/>
        <w:spacing w:line="370" w:lineRule="exact"/>
        <w:ind w:left="434" w:firstLine="0" w:firstLineChars="0"/>
        <w:rPr>
          <w:rFonts w:ascii="Times New Roman" w:hAnsi="Times New Roman" w:cs="Times New Roman"/>
          <w:snapToGrid w:val="0"/>
          <w:kern w:val="0"/>
          <w:szCs w:val="21"/>
        </w:rPr>
      </w:pPr>
      <w:r>
        <w:rPr>
          <w:rFonts w:ascii="Times New Roman" w:hAnsi="Times New Roman" w:cs="Times New Roman"/>
          <w:snapToGrid w:val="0"/>
          <w:kern w:val="0"/>
          <w:szCs w:val="21"/>
        </w:rPr>
        <w:t>__________________________________________________________________________</w:t>
      </w:r>
    </w:p>
    <w:p w14:paraId="020A0C74">
      <w:pPr>
        <w:pStyle w:val="23"/>
        <w:spacing w:line="370" w:lineRule="exact"/>
        <w:ind w:left="434" w:firstLine="0" w:firstLineChars="0"/>
        <w:rPr>
          <w:rFonts w:ascii="Times New Roman" w:hAnsi="Times New Roman" w:cs="Times New Roman"/>
          <w:snapToGrid w:val="0"/>
          <w:kern w:val="0"/>
          <w:szCs w:val="21"/>
        </w:rPr>
      </w:pPr>
      <w:r>
        <w:rPr>
          <w:rFonts w:ascii="Times New Roman" w:hAnsi="Times New Roman" w:cs="Times New Roman"/>
          <w:snapToGrid w:val="0"/>
          <w:kern w:val="0"/>
          <w:szCs w:val="21"/>
        </w:rPr>
        <w:t>__________________________________________________________________________</w:t>
      </w:r>
    </w:p>
    <w:p w14:paraId="2F522ED8">
      <w:pPr>
        <w:pStyle w:val="23"/>
        <w:spacing w:line="370" w:lineRule="exact"/>
        <w:ind w:left="434" w:firstLine="0" w:firstLineChars="0"/>
        <w:rPr>
          <w:rFonts w:ascii="Times New Roman" w:hAnsi="Times New Roman" w:cs="Times New Roman"/>
          <w:snapToGrid w:val="0"/>
          <w:kern w:val="0"/>
          <w:szCs w:val="21"/>
        </w:rPr>
      </w:pPr>
      <w:r>
        <w:rPr>
          <w:rFonts w:ascii="Times New Roman" w:hAnsi="Times New Roman" w:cs="Times New Roman"/>
          <w:snapToGrid w:val="0"/>
          <w:kern w:val="0"/>
          <w:szCs w:val="21"/>
        </w:rPr>
        <w:t>__________________________________________________________________________</w:t>
      </w:r>
    </w:p>
    <w:p w14:paraId="746F2F4E">
      <w:pPr>
        <w:pStyle w:val="23"/>
        <w:numPr>
          <w:ilvl w:val="1"/>
          <w:numId w:val="10"/>
        </w:numPr>
        <w:spacing w:line="370" w:lineRule="exact"/>
        <w:ind w:left="422" w:hanging="422" w:hangingChars="200"/>
        <w:rPr>
          <w:rFonts w:ascii="Times New Roman" w:hAnsi="Times New Roman" w:eastAsia="宋体" w:cs="Times New Roman"/>
          <w:kern w:val="0"/>
          <w:szCs w:val="21"/>
        </w:rPr>
      </w:pPr>
      <w:r>
        <w:rPr>
          <w:rFonts w:ascii="Times New Roman" w:hAnsi="Times New Roman" w:eastAsia="宋体" w:cs="Times New Roman"/>
          <w:b/>
          <w:kern w:val="0"/>
          <w:szCs w:val="21"/>
        </w:rPr>
        <w:t>乙方承诺将严格遵守反洗钱反恐融资的相关规定，并根据甲方要求提供相关信息及资料，协助配合提供反洗钱交易监测及报送所需数据，并对信息及资料真实性、准确性及完整性负责。乙方知悉并同意，甲方为满足境内外各级监管机构的要求，履行相关法定义务，有权在不预先知会乙方的情况下采取反洗钱反恐融资相关必要措施，包括但不限于暂停或终止提供任何服务。乙方同意在甲方要求时协助甲方根据有关反洗钱反恐融资的相关规定采取的适当行动及调查，并认可甲方所采取的行动及调查不构成违约。</w:t>
      </w:r>
    </w:p>
    <w:p w14:paraId="38A9A749">
      <w:pPr>
        <w:spacing w:line="370" w:lineRule="exact"/>
        <w:rPr>
          <w:b/>
          <w:bCs/>
          <w:kern w:val="0"/>
          <w:szCs w:val="21"/>
        </w:rPr>
      </w:pPr>
    </w:p>
    <w:p w14:paraId="24050F40">
      <w:pPr>
        <w:pStyle w:val="23"/>
        <w:numPr>
          <w:ilvl w:val="0"/>
          <w:numId w:val="1"/>
        </w:numPr>
        <w:spacing w:line="370" w:lineRule="exact"/>
        <w:ind w:left="0" w:firstLine="0" w:firstLineChars="0"/>
        <w:jc w:val="center"/>
        <w:outlineLvl w:val="1"/>
        <w:rPr>
          <w:rFonts w:ascii="Times New Roman" w:hAnsi="Times New Roman" w:eastAsia="宋体" w:cs="Times New Roman"/>
          <w:b/>
          <w:bCs/>
          <w:kern w:val="0"/>
          <w:szCs w:val="21"/>
        </w:rPr>
      </w:pPr>
      <w:r>
        <w:rPr>
          <w:rFonts w:ascii="Times New Roman" w:hAnsi="Times New Roman" w:eastAsia="宋体" w:cs="Times New Roman"/>
          <w:b/>
          <w:bCs/>
          <w:kern w:val="0"/>
          <w:szCs w:val="21"/>
        </w:rPr>
        <w:t>甲方的权利与义务</w:t>
      </w:r>
    </w:p>
    <w:p w14:paraId="7D010F6E">
      <w:pPr>
        <w:pStyle w:val="23"/>
        <w:numPr>
          <w:ilvl w:val="1"/>
          <w:numId w:val="12"/>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甲方有权按照合同约定从乙方处按时回收承兑汇票所涉乙方应付票款及/或垫款债务本金、利息（包括复利、逾期和挪用的罚息等），收取乙方应付的费用，并根据本合同约定直接从乙方账户上划收上述本息及费用。</w:t>
      </w:r>
    </w:p>
    <w:p w14:paraId="7A823660">
      <w:pPr>
        <w:pStyle w:val="23"/>
        <w:numPr>
          <w:ilvl w:val="1"/>
          <w:numId w:val="12"/>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甲方有权对乙方和/或担保人（如有）经营财务状况和/或具体项目进展情况进行不时评估，并根据评估结果调整甲方同意给予乙方的汇票承兑业务条件。</w:t>
      </w:r>
    </w:p>
    <w:p w14:paraId="4583574F">
      <w:pPr>
        <w:pStyle w:val="23"/>
        <w:spacing w:line="370" w:lineRule="exact"/>
        <w:ind w:left="420" w:firstLine="0" w:firstLineChars="0"/>
        <w:rPr>
          <w:rFonts w:ascii="Times New Roman" w:hAnsi="Times New Roman" w:eastAsia="宋体" w:cs="Times New Roman"/>
          <w:kern w:val="0"/>
          <w:szCs w:val="21"/>
        </w:rPr>
      </w:pPr>
      <w:r>
        <w:rPr>
          <w:rFonts w:ascii="Times New Roman" w:hAnsi="Times New Roman" w:eastAsia="宋体" w:cs="Times New Roman"/>
          <w:kern w:val="0"/>
          <w:szCs w:val="21"/>
        </w:rPr>
        <w:t>如有抵（质）押物的，甲方有权要求每年由甲方认可的评估机构对抵（质）押物价值进行重新评估；若抵（质）押物价值明显下降的，已不足以作为主合同债务的担保，甲方有权要求乙方归还部分债务或提供甲方认可的其他担保措施。</w:t>
      </w:r>
    </w:p>
    <w:p w14:paraId="7E81F533">
      <w:pPr>
        <w:pStyle w:val="23"/>
        <w:numPr>
          <w:ilvl w:val="1"/>
          <w:numId w:val="12"/>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甲方有权要求乙方提供相关资料，进入乙方经营场所，调查、审查、检查授信使用情况和乙方资产、财务状况及经营情况，</w:t>
      </w:r>
      <w:r>
        <w:rPr>
          <w:rFonts w:ascii="Times New Roman" w:hAnsi="Times New Roman" w:eastAsia="宋体" w:cs="Times New Roman"/>
          <w:bCs/>
          <w:kern w:val="0"/>
          <w:szCs w:val="21"/>
        </w:rPr>
        <w:t>乙方应给予配合；甲方有权监督乙方按本合同约定用途使用融资。</w:t>
      </w:r>
    </w:p>
    <w:p w14:paraId="1D0A69F3">
      <w:pPr>
        <w:pStyle w:val="23"/>
        <w:numPr>
          <w:ilvl w:val="1"/>
          <w:numId w:val="12"/>
        </w:numPr>
        <w:spacing w:line="370" w:lineRule="exact"/>
        <w:ind w:left="42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甲方应对乙方提供的资料承担保密义务</w:t>
      </w:r>
      <w:r>
        <w:rPr>
          <w:rFonts w:ascii="Times New Roman" w:hAnsi="Times New Roman" w:eastAsia="宋体" w:cs="Times New Roman"/>
          <w:bCs/>
          <w:kern w:val="0"/>
          <w:szCs w:val="21"/>
        </w:rPr>
        <w:t>，但以下情况除外：（a）法律法规另有规定或有权机构或监管部门另有要求的；（b）在任何法律或仲裁程序中进行的披露；（c）向甲方所在集团或平安银行分支机构进行披露；（d）向所雇佣的专业咨询机构（包括但不限于律师和/或财务顾问）披露；（e）甲乙双方另有约定的可以披露的情形；或（f）乙方提供的资料不构成秘密信息的</w:t>
      </w:r>
      <w:r>
        <w:rPr>
          <w:rFonts w:ascii="Times New Roman" w:hAnsi="Times New Roman" w:eastAsia="宋体" w:cs="Times New Roman"/>
          <w:kern w:val="0"/>
          <w:szCs w:val="21"/>
        </w:rPr>
        <w:t>。</w:t>
      </w:r>
    </w:p>
    <w:p w14:paraId="0233EAB0">
      <w:pPr>
        <w:spacing w:line="370" w:lineRule="exact"/>
        <w:rPr>
          <w:b/>
          <w:bCs/>
          <w:kern w:val="0"/>
          <w:szCs w:val="21"/>
        </w:rPr>
      </w:pPr>
    </w:p>
    <w:p w14:paraId="5C8C3848">
      <w:pPr>
        <w:pStyle w:val="23"/>
        <w:numPr>
          <w:ilvl w:val="0"/>
          <w:numId w:val="1"/>
        </w:numPr>
        <w:spacing w:line="370" w:lineRule="exact"/>
        <w:ind w:left="0" w:firstLine="0" w:firstLineChars="0"/>
        <w:jc w:val="center"/>
        <w:outlineLvl w:val="1"/>
        <w:rPr>
          <w:rFonts w:ascii="Times New Roman" w:hAnsi="Times New Roman" w:eastAsia="宋体" w:cs="Times New Roman"/>
          <w:b/>
          <w:bCs/>
          <w:kern w:val="0"/>
          <w:szCs w:val="21"/>
        </w:rPr>
      </w:pPr>
      <w:r>
        <w:rPr>
          <w:rFonts w:ascii="Times New Roman" w:hAnsi="Times New Roman" w:eastAsia="宋体" w:cs="Times New Roman"/>
          <w:b/>
          <w:bCs/>
          <w:kern w:val="0"/>
          <w:szCs w:val="21"/>
        </w:rPr>
        <w:t>违约条款</w:t>
      </w:r>
    </w:p>
    <w:p w14:paraId="1FD7C926">
      <w:pPr>
        <w:pStyle w:val="23"/>
        <w:numPr>
          <w:ilvl w:val="1"/>
          <w:numId w:val="13"/>
        </w:numPr>
        <w:spacing w:line="370" w:lineRule="exact"/>
        <w:ind w:left="422" w:hanging="422" w:hangingChars="200"/>
        <w:rPr>
          <w:rFonts w:ascii="Times New Roman" w:hAnsi="Times New Roman" w:eastAsia="宋体" w:cs="Times New Roman"/>
          <w:b/>
          <w:kern w:val="0"/>
          <w:szCs w:val="21"/>
        </w:rPr>
      </w:pPr>
      <w:r>
        <w:rPr>
          <w:rFonts w:ascii="Times New Roman" w:hAnsi="Times New Roman" w:eastAsia="宋体" w:cs="Times New Roman"/>
          <w:b/>
          <w:kern w:val="0"/>
          <w:szCs w:val="21"/>
        </w:rPr>
        <w:t>下列任一事件均构成乙方在本合同项下之违约事件：</w:t>
      </w:r>
    </w:p>
    <w:p w14:paraId="6CABCF8F">
      <w:pPr>
        <w:pStyle w:val="23"/>
        <w:numPr>
          <w:ilvl w:val="0"/>
          <w:numId w:val="14"/>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乙方未及时向甲方交付承兑汇票项下任何应付票款或未及时清偿任何承兑垫款本金、利息、费用或乙方的任何其他应付未付债务，或未按双方约定的用途使用融资资金；</w:t>
      </w:r>
    </w:p>
    <w:p w14:paraId="42249296">
      <w:pPr>
        <w:pStyle w:val="23"/>
        <w:numPr>
          <w:ilvl w:val="0"/>
          <w:numId w:val="14"/>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乙方违反其所作出的任何声明、保证和承诺；</w:t>
      </w:r>
    </w:p>
    <w:p w14:paraId="125F238F">
      <w:pPr>
        <w:pStyle w:val="23"/>
        <w:numPr>
          <w:ilvl w:val="0"/>
          <w:numId w:val="14"/>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乙方违反本合同约定的其应履行的任何义务；</w:t>
      </w:r>
    </w:p>
    <w:p w14:paraId="0BB66FBC">
      <w:pPr>
        <w:pStyle w:val="23"/>
        <w:numPr>
          <w:ilvl w:val="0"/>
          <w:numId w:val="14"/>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乙方就本合同签署或履行而向甲方所提供的信息或材料不准确、不完整、隐瞒真实的重要情况或有重大遗漏或具有误导性的；</w:t>
      </w:r>
    </w:p>
    <w:p w14:paraId="5999B194">
      <w:pPr>
        <w:pStyle w:val="23"/>
        <w:numPr>
          <w:ilvl w:val="0"/>
          <w:numId w:val="14"/>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乙方未按要求及时办妥与本合同有关的担保登记手续（如需）的；</w:t>
      </w:r>
    </w:p>
    <w:p w14:paraId="371DB63D">
      <w:pPr>
        <w:pStyle w:val="23"/>
        <w:numPr>
          <w:ilvl w:val="0"/>
          <w:numId w:val="14"/>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乙方或担保人通过关联交易或其他方式，逃废银行债权；</w:t>
      </w:r>
    </w:p>
    <w:p w14:paraId="746E3AE5">
      <w:pPr>
        <w:pStyle w:val="23"/>
        <w:numPr>
          <w:ilvl w:val="0"/>
          <w:numId w:val="14"/>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乙方或担保人存在怠于管理和追索到期债权，或以无偿、不合理的低价及/或其他不适当方式处分其主要财产等转移财产或抽逃资金或其他逃避债务的行为；</w:t>
      </w:r>
    </w:p>
    <w:p w14:paraId="4D6C695C">
      <w:pPr>
        <w:pStyle w:val="23"/>
        <w:numPr>
          <w:ilvl w:val="0"/>
          <w:numId w:val="14"/>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乙方利用与任何第三人之间的虚假合同和安排，包括但不限于以无真实贸易背景的应收票据等债权贴现或质押，套取甲方或其他银行的资金或授信；</w:t>
      </w:r>
    </w:p>
    <w:p w14:paraId="48982C7D">
      <w:pPr>
        <w:pStyle w:val="23"/>
        <w:numPr>
          <w:ilvl w:val="0"/>
          <w:numId w:val="14"/>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乙方或担保人违反与甲方（包括平安银行的任何分支机构）及/或其他金融机构签订的任何其他合同（包括但不限于授信合同、贷款合同或担保合同等）或在其发行的任何债务性质的证券项下违约；</w:t>
      </w:r>
    </w:p>
    <w:p w14:paraId="0929541A">
      <w:pPr>
        <w:pStyle w:val="23"/>
        <w:numPr>
          <w:ilvl w:val="0"/>
          <w:numId w:val="14"/>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的担保人违反担保合同（包括但不限于保证合同、抵押合同和/或质押合同）的约定或者发生担保合同项下的违约事项，或者担保合同未生效、无效或被撤销或担保登记手续未按要求完成；担保物价值明显减少、灭失或权属发生争议，或被查封、扣押、冻结、扣划、留置、拍卖等；</w:t>
      </w:r>
    </w:p>
    <w:p w14:paraId="725612E8">
      <w:pPr>
        <w:pStyle w:val="23"/>
        <w:numPr>
          <w:ilvl w:val="0"/>
          <w:numId w:val="14"/>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或担保人（如有）经营、财务状况恶化，发生重大财务亏损、资产损失（包括但不限于因其对外担保而发生资产损失）或其他财务危机；或乙方、乙方的股东或实际控制人、担保人（如有），或该等任一主体的法定代表人或主要管理人员涉及重大诉讼、仲裁、案件或受到行政处罚、刑事制裁或卷入此类行政、刑事调查程序、或其主要资产被采取了查封、冻结或财产保全等强制措施，或出现其他导致其无法正常履行职责的事件；或乙方或担保人（如有）向第三方提供担保，对其财务状况或履行本合同项下义务的能力产生重大不利影响；或乙方或担保人（如有）出现分立、合并、重大兼并、收购重组、重大资产处置、减资、歇业、停业、停产、停业整顿、清算、改组、被撤销、被解散、破产、或被吊销营业执照等任一情形；或乙方股东或实际控制人发生变动、或本合同第6.5条所列应通知的任一事项实际发生但未经甲方事先同意，甲方认为前述事项将影响其债权的安全的；</w:t>
      </w:r>
    </w:p>
    <w:p w14:paraId="06EC65EC">
      <w:pPr>
        <w:pStyle w:val="23"/>
        <w:numPr>
          <w:ilvl w:val="0"/>
          <w:numId w:val="14"/>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乙方或担保人的经营期限在本贷款存续期内到期，且未办理到期延续手续；</w:t>
      </w:r>
    </w:p>
    <w:p w14:paraId="5E182D83">
      <w:pPr>
        <w:pStyle w:val="23"/>
        <w:numPr>
          <w:ilvl w:val="0"/>
          <w:numId w:val="14"/>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发生其他可能严重影响乙方履行本合同项下义务能力之事件或情形的。</w:t>
      </w:r>
    </w:p>
    <w:p w14:paraId="47497C37">
      <w:pPr>
        <w:pStyle w:val="23"/>
        <w:numPr>
          <w:ilvl w:val="1"/>
          <w:numId w:val="13"/>
        </w:numPr>
        <w:spacing w:line="370" w:lineRule="exact"/>
        <w:ind w:left="422" w:hanging="422" w:hangingChars="200"/>
        <w:rPr>
          <w:rFonts w:ascii="Times New Roman" w:hAnsi="Times New Roman" w:eastAsia="宋体" w:cs="Times New Roman"/>
          <w:b/>
          <w:bCs/>
          <w:kern w:val="0"/>
          <w:szCs w:val="21"/>
        </w:rPr>
      </w:pPr>
      <w:r>
        <w:rPr>
          <w:rFonts w:ascii="Times New Roman" w:hAnsi="Times New Roman" w:eastAsia="宋体" w:cs="Times New Roman"/>
          <w:b/>
          <w:bCs/>
          <w:kern w:val="0"/>
          <w:szCs w:val="21"/>
        </w:rPr>
        <w:t>发生上述任一违约事件时，甲方有权采取下列一项或多项措施：</w:t>
      </w:r>
    </w:p>
    <w:p w14:paraId="6878FFB5">
      <w:pPr>
        <w:pStyle w:val="23"/>
        <w:numPr>
          <w:ilvl w:val="0"/>
          <w:numId w:val="15"/>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snapToGrid w:val="0"/>
          <w:kern w:val="0"/>
          <w:szCs w:val="21"/>
        </w:rPr>
        <w:t>拒绝乙方新提出的汇票承兑业务申请，及/或</w:t>
      </w:r>
      <w:r>
        <w:rPr>
          <w:rFonts w:ascii="Times New Roman" w:hAnsi="Times New Roman" w:eastAsia="宋体" w:cs="Times New Roman"/>
          <w:kern w:val="0"/>
          <w:szCs w:val="21"/>
        </w:rPr>
        <w:t>尚未承兑的汇票停止承兑；</w:t>
      </w:r>
    </w:p>
    <w:p w14:paraId="654B59A1">
      <w:pPr>
        <w:pStyle w:val="23"/>
        <w:numPr>
          <w:ilvl w:val="0"/>
          <w:numId w:val="15"/>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snapToGrid w:val="0"/>
          <w:kern w:val="0"/>
          <w:szCs w:val="21"/>
        </w:rPr>
        <w:t>对于已经承兑的汇票，</w:t>
      </w:r>
      <w:r>
        <w:rPr>
          <w:rFonts w:ascii="Times New Roman" w:hAnsi="Times New Roman" w:eastAsia="宋体" w:cs="Times New Roman"/>
          <w:kern w:val="0"/>
          <w:szCs w:val="21"/>
        </w:rPr>
        <w:t>要求乙方立即按所有已承兑汇票余额的100%向甲方补足保证金，用于承兑汇票到期支付；</w:t>
      </w:r>
    </w:p>
    <w:p w14:paraId="2B6A432D">
      <w:pPr>
        <w:pStyle w:val="23"/>
        <w:numPr>
          <w:ilvl w:val="0"/>
          <w:numId w:val="15"/>
        </w:numPr>
        <w:spacing w:line="370" w:lineRule="exact"/>
        <w:ind w:left="1050" w:leftChars="200" w:hanging="630" w:hangingChars="300"/>
        <w:rPr>
          <w:rFonts w:ascii="Times New Roman" w:hAnsi="Times New Roman" w:eastAsia="宋体" w:cs="Times New Roman"/>
          <w:snapToGrid w:val="0"/>
          <w:kern w:val="0"/>
          <w:szCs w:val="21"/>
        </w:rPr>
      </w:pPr>
      <w:r>
        <w:rPr>
          <w:rFonts w:ascii="Times New Roman" w:hAnsi="Times New Roman" w:eastAsia="宋体" w:cs="Times New Roman"/>
          <w:snapToGrid w:val="0"/>
          <w:kern w:val="0"/>
          <w:szCs w:val="21"/>
        </w:rPr>
        <w:t>依据本合同相关约定向乙方追索乙方所欠甲方的全部或部分债务，包括但不限于</w:t>
      </w:r>
      <w:r>
        <w:rPr>
          <w:rFonts w:ascii="Times New Roman" w:hAnsi="Times New Roman" w:eastAsia="宋体" w:cs="Times New Roman"/>
          <w:kern w:val="0"/>
          <w:szCs w:val="21"/>
        </w:rPr>
        <w:t>甲方垫款本金、利息、费用，并自违约发生之日起，对乙方应付未付债务按罚息利率计收罚息，直至乙方清偿本合同项下所有债务（包括但不限于本金、利息及相关费用）为免疑义，前述费用</w:t>
      </w:r>
      <w:r>
        <w:rPr>
          <w:rFonts w:ascii="Times New Roman" w:hAnsi="Times New Roman" w:eastAsia="宋体" w:cs="Times New Roman"/>
          <w:snapToGrid w:val="0"/>
          <w:kern w:val="0"/>
          <w:szCs w:val="21"/>
        </w:rPr>
        <w:t>包括但不限于甲方为实现债权产生的所有费用（具体参见本合同第8.3条）；</w:t>
      </w:r>
    </w:p>
    <w:p w14:paraId="1C9E2C21">
      <w:pPr>
        <w:pStyle w:val="23"/>
        <w:numPr>
          <w:ilvl w:val="0"/>
          <w:numId w:val="15"/>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要求乙方提供甲方认可的新的担保措施；</w:t>
      </w:r>
    </w:p>
    <w:p w14:paraId="4A659DB0">
      <w:pPr>
        <w:pStyle w:val="23"/>
        <w:numPr>
          <w:ilvl w:val="0"/>
          <w:numId w:val="15"/>
        </w:numPr>
        <w:spacing w:line="370" w:lineRule="exact"/>
        <w:ind w:left="1050" w:leftChars="200" w:hanging="630" w:hangingChars="300"/>
        <w:rPr>
          <w:rFonts w:ascii="Times New Roman" w:hAnsi="Times New Roman" w:eastAsia="宋体" w:cs="Times New Roman"/>
          <w:snapToGrid w:val="0"/>
          <w:kern w:val="0"/>
          <w:szCs w:val="21"/>
        </w:rPr>
      </w:pPr>
      <w:r>
        <w:rPr>
          <w:rFonts w:ascii="Times New Roman" w:hAnsi="Times New Roman" w:eastAsia="宋体" w:cs="Times New Roman"/>
          <w:snapToGrid w:val="0"/>
          <w:kern w:val="0"/>
          <w:szCs w:val="21"/>
        </w:rPr>
        <w:t>根据风险状况调整本合同项下汇票承兑业务的规模或其他业务条件；</w:t>
      </w:r>
    </w:p>
    <w:p w14:paraId="70D3A1A3">
      <w:pPr>
        <w:pStyle w:val="23"/>
        <w:numPr>
          <w:ilvl w:val="0"/>
          <w:numId w:val="15"/>
        </w:numPr>
        <w:spacing w:line="370" w:lineRule="exact"/>
        <w:ind w:left="1052" w:leftChars="200" w:hanging="632" w:hangingChars="300"/>
        <w:rPr>
          <w:rFonts w:ascii="Times New Roman" w:hAnsi="Times New Roman" w:eastAsia="宋体" w:cs="Times New Roman"/>
          <w:kern w:val="0"/>
          <w:szCs w:val="21"/>
        </w:rPr>
      </w:pPr>
      <w:r>
        <w:rPr>
          <w:rFonts w:ascii="Times New Roman" w:hAnsi="Times New Roman" w:eastAsia="宋体" w:cs="Times New Roman"/>
          <w:b/>
          <w:snapToGrid w:val="0"/>
          <w:kern w:val="0"/>
          <w:szCs w:val="21"/>
        </w:rPr>
        <w:t>有权直接从乙方或相关担保方任何账户上扣款，以清偿乙方在本合同项下的全部或部分债务（包括甲方要求提前清偿的债务），而无需事先征得乙方的同意；</w:t>
      </w:r>
    </w:p>
    <w:p w14:paraId="2F9EDA4C">
      <w:pPr>
        <w:pStyle w:val="23"/>
        <w:numPr>
          <w:ilvl w:val="0"/>
          <w:numId w:val="15"/>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有权行使相关担保权利，包括但不限于要求保证人立即履行保证责任，或通过处分抵押物及/或质物实现担保权利；</w:t>
      </w:r>
    </w:p>
    <w:p w14:paraId="31AC5E4B">
      <w:pPr>
        <w:pStyle w:val="23"/>
        <w:numPr>
          <w:ilvl w:val="0"/>
          <w:numId w:val="15"/>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根据本合同约定收取及扣划罚息；</w:t>
      </w:r>
    </w:p>
    <w:p w14:paraId="68C1605E">
      <w:pPr>
        <w:pStyle w:val="23"/>
        <w:numPr>
          <w:ilvl w:val="0"/>
          <w:numId w:val="15"/>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甲方依法向乙方的债务人主张代位求偿权，或请求法院撤销乙方放弃其到期债权或者无偿转让财产、以明显不合理低价转让财产的行为，乙方需按照甲方的要求提供一切必要配合与协助</w:t>
      </w:r>
      <w:r>
        <w:rPr>
          <w:rFonts w:ascii="Times New Roman" w:hAnsi="Times New Roman" w:eastAsia="宋体" w:cs="Times New Roman"/>
          <w:snapToGrid w:val="0"/>
          <w:kern w:val="0"/>
          <w:szCs w:val="21"/>
        </w:rPr>
        <w:t>，甲方由此产生的各项费用由乙方承担</w:t>
      </w:r>
      <w:r>
        <w:rPr>
          <w:rFonts w:ascii="Times New Roman" w:hAnsi="Times New Roman" w:eastAsia="宋体" w:cs="Times New Roman"/>
          <w:kern w:val="0"/>
          <w:szCs w:val="21"/>
        </w:rPr>
        <w:t>；</w:t>
      </w:r>
    </w:p>
    <w:p w14:paraId="3566BBF6">
      <w:pPr>
        <w:pStyle w:val="23"/>
        <w:numPr>
          <w:ilvl w:val="0"/>
          <w:numId w:val="15"/>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采取法律允许或合同约定的其他救济措施。</w:t>
      </w:r>
    </w:p>
    <w:p w14:paraId="67760F38">
      <w:pPr>
        <w:pStyle w:val="23"/>
        <w:numPr>
          <w:ilvl w:val="1"/>
          <w:numId w:val="13"/>
        </w:numPr>
        <w:spacing w:line="370" w:lineRule="exact"/>
        <w:ind w:left="422" w:hanging="422" w:hangingChars="200"/>
        <w:rPr>
          <w:rFonts w:ascii="Times New Roman" w:hAnsi="Times New Roman" w:eastAsia="宋体" w:cs="Times New Roman"/>
          <w:b/>
          <w:bCs/>
          <w:kern w:val="0"/>
          <w:szCs w:val="21"/>
        </w:rPr>
      </w:pPr>
      <w:r>
        <w:rPr>
          <w:rFonts w:ascii="Times New Roman" w:hAnsi="Times New Roman" w:eastAsia="宋体" w:cs="Times New Roman"/>
          <w:b/>
          <w:snapToGrid w:val="0"/>
          <w:kern w:val="0"/>
          <w:szCs w:val="21"/>
        </w:rPr>
        <w:t>本合同项下“实现债权的费用”是指，乙方未按期偿还甲方在本合同项下任何债务，导致甲方为催收等所产生或所需的合理费用，包括但不限于公告、公证、送达、鉴定费、律师费、诉讼费、仲裁费、差旅费、评估费、拍卖费、财产保全费、强制执行费、过户费等。本合同项下甲方“实现债权的费用”均由乙方负担</w:t>
      </w:r>
      <w:r>
        <w:rPr>
          <w:rFonts w:ascii="Times New Roman" w:hAnsi="Times New Roman" w:eastAsia="宋体" w:cs="Times New Roman"/>
          <w:b/>
          <w:bCs/>
          <w:kern w:val="0"/>
          <w:szCs w:val="21"/>
        </w:rPr>
        <w:t>。</w:t>
      </w:r>
    </w:p>
    <w:p w14:paraId="3446F35D">
      <w:pPr>
        <w:pStyle w:val="23"/>
        <w:spacing w:line="370" w:lineRule="exact"/>
        <w:ind w:left="422" w:firstLine="0" w:firstLineChars="0"/>
        <w:rPr>
          <w:rFonts w:ascii="Times New Roman" w:hAnsi="Times New Roman" w:eastAsia="宋体" w:cs="Times New Roman"/>
          <w:b/>
          <w:bCs/>
          <w:kern w:val="0"/>
          <w:szCs w:val="21"/>
        </w:rPr>
      </w:pPr>
    </w:p>
    <w:p w14:paraId="0A725413">
      <w:pPr>
        <w:pStyle w:val="23"/>
        <w:numPr>
          <w:ilvl w:val="0"/>
          <w:numId w:val="1"/>
        </w:numPr>
        <w:spacing w:line="370" w:lineRule="exact"/>
        <w:ind w:left="0" w:firstLine="0" w:firstLineChars="0"/>
        <w:jc w:val="center"/>
        <w:outlineLvl w:val="1"/>
        <w:rPr>
          <w:rFonts w:ascii="Times New Roman" w:hAnsi="Times New Roman" w:eastAsia="宋体" w:cs="Times New Roman"/>
          <w:b/>
          <w:bCs/>
          <w:kern w:val="0"/>
          <w:szCs w:val="21"/>
        </w:rPr>
      </w:pPr>
      <w:r>
        <w:rPr>
          <w:rFonts w:ascii="Times New Roman" w:hAnsi="Times New Roman" w:eastAsia="宋体" w:cs="Times New Roman"/>
          <w:b/>
          <w:bCs/>
          <w:kern w:val="0"/>
          <w:szCs w:val="21"/>
        </w:rPr>
        <w:t>通知和送达</w:t>
      </w:r>
    </w:p>
    <w:p w14:paraId="6AC8581A">
      <w:pPr>
        <w:pStyle w:val="23"/>
        <w:numPr>
          <w:ilvl w:val="1"/>
          <w:numId w:val="16"/>
        </w:numPr>
        <w:spacing w:line="370" w:lineRule="exact"/>
        <w:ind w:left="422" w:hanging="422" w:hangingChars="200"/>
        <w:rPr>
          <w:rFonts w:ascii="Times New Roman" w:hAnsi="Times New Roman" w:eastAsia="宋体" w:cs="Times New Roman"/>
          <w:b/>
          <w:bCs/>
          <w:kern w:val="0"/>
          <w:szCs w:val="21"/>
        </w:rPr>
      </w:pPr>
      <w:r>
        <w:rPr>
          <w:rFonts w:ascii="Times New Roman" w:hAnsi="Times New Roman" w:eastAsia="宋体" w:cs="Times New Roman"/>
          <w:b/>
          <w:bCs/>
          <w:kern w:val="0"/>
          <w:szCs w:val="21"/>
        </w:rPr>
        <w:t>关于通知和送达约定条款</w:t>
      </w:r>
    </w:p>
    <w:p w14:paraId="52F828FF">
      <w:pPr>
        <w:pStyle w:val="23"/>
        <w:numPr>
          <w:ilvl w:val="1"/>
          <w:numId w:val="17"/>
        </w:numPr>
        <w:spacing w:line="370" w:lineRule="exact"/>
        <w:ind w:left="422" w:hanging="422" w:hangingChars="200"/>
        <w:rPr>
          <w:rFonts w:ascii="Times New Roman" w:hAnsi="Times New Roman" w:eastAsia="宋体" w:cs="Times New Roman"/>
          <w:b/>
          <w:bCs/>
          <w:kern w:val="0"/>
          <w:szCs w:val="21"/>
        </w:rPr>
      </w:pPr>
      <w:r>
        <w:rPr>
          <w:rFonts w:ascii="Times New Roman" w:hAnsi="Times New Roman" w:eastAsia="宋体" w:cs="Times New Roman"/>
          <w:b/>
          <w:bCs/>
          <w:kern w:val="0"/>
          <w:szCs w:val="21"/>
        </w:rPr>
        <w:t>通知和送达原则。本合同一方按照本合同条款发往任何其他方的任何通知、请求或其他文件，应当以书面形式（包括电子邮件形式）发给该任何其他方。各方指定的最初联系地址、电话、传真、邮箱以及联系人（如有）在本合同文首列明。</w:t>
      </w:r>
    </w:p>
    <w:p w14:paraId="4AE73360">
      <w:pPr>
        <w:pStyle w:val="23"/>
        <w:numPr>
          <w:ilvl w:val="1"/>
          <w:numId w:val="17"/>
        </w:numPr>
        <w:spacing w:line="370" w:lineRule="exact"/>
        <w:ind w:left="422" w:hanging="422" w:hangingChars="200"/>
        <w:rPr>
          <w:rFonts w:ascii="Times New Roman" w:hAnsi="Times New Roman" w:eastAsia="宋体" w:cs="Times New Roman"/>
          <w:b/>
          <w:bCs/>
          <w:kern w:val="0"/>
          <w:szCs w:val="21"/>
        </w:rPr>
      </w:pPr>
      <w:r>
        <w:rPr>
          <w:rFonts w:ascii="Times New Roman" w:hAnsi="Times New Roman" w:eastAsia="宋体" w:cs="Times New Roman"/>
          <w:b/>
          <w:bCs/>
          <w:kern w:val="0"/>
          <w:szCs w:val="21"/>
        </w:rPr>
        <w:t>本合同各方之间按照本合同条款进行的任何通讯应当在满足下列条件后视为已送达：</w:t>
      </w:r>
    </w:p>
    <w:p w14:paraId="07C8F509">
      <w:pPr>
        <w:pStyle w:val="23"/>
        <w:numPr>
          <w:ilvl w:val="0"/>
          <w:numId w:val="18"/>
        </w:numPr>
        <w:spacing w:line="370" w:lineRule="exact"/>
        <w:ind w:left="1052" w:leftChars="200" w:hanging="632" w:hangingChars="300"/>
        <w:rPr>
          <w:rFonts w:ascii="Times New Roman" w:hAnsi="Times New Roman" w:eastAsia="宋体" w:cs="Times New Roman"/>
          <w:b/>
          <w:bCs/>
          <w:kern w:val="0"/>
          <w:szCs w:val="21"/>
        </w:rPr>
      </w:pPr>
      <w:r>
        <w:rPr>
          <w:rFonts w:ascii="Times New Roman" w:hAnsi="Times New Roman" w:eastAsia="宋体" w:cs="Times New Roman"/>
          <w:b/>
          <w:bCs/>
          <w:kern w:val="0"/>
          <w:szCs w:val="21"/>
        </w:rPr>
        <w:t>如通过人员递送，在收件方签收时视为送达；</w:t>
      </w:r>
    </w:p>
    <w:p w14:paraId="4D27D6D5">
      <w:pPr>
        <w:pStyle w:val="23"/>
        <w:numPr>
          <w:ilvl w:val="0"/>
          <w:numId w:val="18"/>
        </w:numPr>
        <w:spacing w:line="370" w:lineRule="exact"/>
        <w:ind w:left="1052" w:leftChars="200" w:hanging="632" w:hangingChars="300"/>
        <w:rPr>
          <w:rFonts w:ascii="Times New Roman" w:hAnsi="Times New Roman" w:eastAsia="宋体" w:cs="Times New Roman"/>
          <w:b/>
          <w:bCs/>
          <w:kern w:val="0"/>
          <w:szCs w:val="21"/>
        </w:rPr>
      </w:pPr>
      <w:r>
        <w:rPr>
          <w:rFonts w:ascii="Times New Roman" w:hAnsi="Times New Roman" w:eastAsia="宋体" w:cs="Times New Roman"/>
          <w:b/>
          <w:bCs/>
          <w:kern w:val="0"/>
          <w:szCs w:val="21"/>
        </w:rPr>
        <w:t>如以电传或传真传送，在传送完成并收到正确回号或传真报告时视为送达；</w:t>
      </w:r>
    </w:p>
    <w:p w14:paraId="5710DD56">
      <w:pPr>
        <w:pStyle w:val="23"/>
        <w:numPr>
          <w:ilvl w:val="0"/>
          <w:numId w:val="18"/>
        </w:numPr>
        <w:spacing w:line="370" w:lineRule="exact"/>
        <w:ind w:left="1052" w:leftChars="200" w:hanging="632" w:hangingChars="300"/>
        <w:rPr>
          <w:rFonts w:ascii="Times New Roman" w:hAnsi="Times New Roman" w:eastAsia="宋体" w:cs="Times New Roman"/>
          <w:b/>
          <w:bCs/>
          <w:kern w:val="0"/>
          <w:szCs w:val="21"/>
        </w:rPr>
      </w:pPr>
      <w:r>
        <w:rPr>
          <w:rFonts w:ascii="Times New Roman" w:hAnsi="Times New Roman" w:eastAsia="宋体" w:cs="Times New Roman"/>
          <w:b/>
          <w:bCs/>
          <w:kern w:val="0"/>
          <w:szCs w:val="21"/>
        </w:rPr>
        <w:t>如电子邮件传送，在电子邮件发出时视为送达；</w:t>
      </w:r>
    </w:p>
    <w:p w14:paraId="0011A939">
      <w:pPr>
        <w:pStyle w:val="23"/>
        <w:numPr>
          <w:ilvl w:val="0"/>
          <w:numId w:val="18"/>
        </w:numPr>
        <w:spacing w:line="370" w:lineRule="exact"/>
        <w:ind w:left="1052" w:leftChars="200" w:hanging="632" w:hangingChars="300"/>
        <w:rPr>
          <w:rFonts w:ascii="Times New Roman" w:hAnsi="Times New Roman" w:eastAsia="宋体" w:cs="Times New Roman"/>
          <w:b/>
          <w:bCs/>
          <w:kern w:val="0"/>
          <w:szCs w:val="21"/>
        </w:rPr>
      </w:pPr>
      <w:r>
        <w:rPr>
          <w:rFonts w:ascii="Times New Roman" w:hAnsi="Times New Roman" w:eastAsia="宋体" w:cs="Times New Roman"/>
          <w:b/>
          <w:bCs/>
          <w:kern w:val="0"/>
          <w:szCs w:val="21"/>
        </w:rPr>
        <w:t>如以信函方式邮寄，以交付投递后的第七日视为送达；</w:t>
      </w:r>
    </w:p>
    <w:p w14:paraId="0188B44A">
      <w:pPr>
        <w:pStyle w:val="23"/>
        <w:spacing w:line="370" w:lineRule="exact"/>
        <w:ind w:left="422" w:firstLine="0" w:firstLineChars="0"/>
        <w:rPr>
          <w:rFonts w:ascii="Times New Roman" w:hAnsi="Times New Roman" w:eastAsia="宋体" w:cs="Times New Roman"/>
          <w:b/>
          <w:bCs/>
          <w:kern w:val="0"/>
          <w:szCs w:val="21"/>
        </w:rPr>
      </w:pPr>
      <w:r>
        <w:rPr>
          <w:rFonts w:ascii="Times New Roman" w:hAnsi="Times New Roman" w:eastAsia="宋体" w:cs="Times New Roman"/>
          <w:b/>
          <w:bCs/>
          <w:kern w:val="0"/>
          <w:szCs w:val="21"/>
        </w:rPr>
        <w:t>但乙方向甲方发出的所有通知、请求或其它通讯均须在甲方实际收到时被视为已经送达，且以电子邮件、电传或传真方式向甲方发出的所有通知、请求或其他通讯须在发出后的三日内将加盖公章的正式函件原件以人员递送或是信函邮寄方式送达甲方以确认。</w:t>
      </w:r>
    </w:p>
    <w:p w14:paraId="3A218F85">
      <w:pPr>
        <w:pStyle w:val="23"/>
        <w:numPr>
          <w:ilvl w:val="1"/>
          <w:numId w:val="17"/>
        </w:numPr>
        <w:spacing w:line="370" w:lineRule="exact"/>
        <w:ind w:left="422" w:hanging="422" w:hangingChars="200"/>
        <w:rPr>
          <w:rFonts w:ascii="Times New Roman" w:hAnsi="Times New Roman" w:eastAsia="宋体" w:cs="Times New Roman"/>
          <w:b/>
          <w:bCs/>
          <w:kern w:val="0"/>
          <w:szCs w:val="21"/>
        </w:rPr>
      </w:pPr>
      <w:r>
        <w:rPr>
          <w:rFonts w:ascii="Times New Roman" w:hAnsi="Times New Roman" w:eastAsia="宋体" w:cs="Times New Roman"/>
          <w:b/>
          <w:bCs/>
          <w:kern w:val="0"/>
          <w:szCs w:val="21"/>
        </w:rPr>
        <w:t>本合同约定的各方地址适用于各方各类通知、协议等文件以及就合同发生纠纷时相关文件和法律文书的送达，同时包括在争议进入仲裁、民事诉讼程序后的一审、二审、再审和执行程序。</w:t>
      </w:r>
    </w:p>
    <w:p w14:paraId="7DDEA538">
      <w:pPr>
        <w:pStyle w:val="23"/>
        <w:numPr>
          <w:ilvl w:val="1"/>
          <w:numId w:val="17"/>
        </w:numPr>
        <w:spacing w:line="370" w:lineRule="exact"/>
        <w:ind w:left="422" w:hanging="422" w:hangingChars="200"/>
        <w:rPr>
          <w:rFonts w:ascii="Times New Roman" w:hAnsi="Times New Roman" w:eastAsia="宋体" w:cs="Times New Roman"/>
          <w:b/>
          <w:bCs/>
          <w:kern w:val="0"/>
          <w:szCs w:val="21"/>
        </w:rPr>
      </w:pPr>
      <w:r>
        <w:rPr>
          <w:rFonts w:ascii="Times New Roman" w:hAnsi="Times New Roman" w:eastAsia="宋体" w:cs="Times New Roman"/>
          <w:b/>
          <w:bCs/>
          <w:kern w:val="0"/>
          <w:szCs w:val="21"/>
        </w:rPr>
        <w:t>各方同意在送达地址需要变更时应当履行通知义务，并在变更后七个工作日内以书面通知方式进行；在仲裁及民事诉讼程序时当事人地址变更时应当向仲裁机构、法院履行送达地址变更通知义务。各方未按前述方式履行通知义务，各方在本合同中所约定的送达地址仍视为有效送达地址，因当事人约定的送达地址不准确、送达地址变更后未及时依程序告知对方和法院、当事人或指定的接收人拒绝签收等原因，导致法律文书未能被当事人实际接收的，邮寄送达的，以文书退回之日视为送达之日；直接送达的，送达人当场在送达回证上记明情况之日视为送达之日；履行送达地址变更通知义务的，以变更后的送达地址为有效送达地址。</w:t>
      </w:r>
    </w:p>
    <w:p w14:paraId="027CBF64">
      <w:pPr>
        <w:spacing w:line="370" w:lineRule="exact"/>
        <w:rPr>
          <w:kern w:val="0"/>
          <w:szCs w:val="21"/>
        </w:rPr>
      </w:pPr>
    </w:p>
    <w:p w14:paraId="46EDB813">
      <w:pPr>
        <w:pStyle w:val="23"/>
        <w:numPr>
          <w:ilvl w:val="0"/>
          <w:numId w:val="1"/>
        </w:numPr>
        <w:spacing w:line="370" w:lineRule="exact"/>
        <w:ind w:left="0" w:firstLine="0" w:firstLineChars="0"/>
        <w:jc w:val="center"/>
        <w:outlineLvl w:val="1"/>
        <w:rPr>
          <w:rFonts w:ascii="Times New Roman" w:hAnsi="Times New Roman" w:eastAsia="宋体" w:cs="Times New Roman"/>
          <w:b/>
          <w:bCs/>
          <w:kern w:val="0"/>
          <w:szCs w:val="21"/>
        </w:rPr>
      </w:pPr>
      <w:bookmarkStart w:id="2" w:name="_Hlk38472858"/>
      <w:r>
        <w:rPr>
          <w:rFonts w:ascii="Times New Roman" w:hAnsi="Times New Roman" w:eastAsia="宋体" w:cs="Times New Roman"/>
          <w:b/>
          <w:bCs/>
          <w:kern w:val="0"/>
          <w:szCs w:val="21"/>
        </w:rPr>
        <w:t>扣收约定</w:t>
      </w:r>
    </w:p>
    <w:p w14:paraId="40DBF26D">
      <w:pPr>
        <w:numPr>
          <w:ilvl w:val="1"/>
          <w:numId w:val="19"/>
        </w:numPr>
        <w:spacing w:line="370" w:lineRule="exact"/>
        <w:ind w:left="422" w:hanging="422" w:hangingChars="200"/>
        <w:rPr>
          <w:b/>
          <w:bCs/>
          <w:kern w:val="0"/>
          <w:szCs w:val="21"/>
        </w:rPr>
      </w:pPr>
      <w:bookmarkStart w:id="3" w:name="_Hlk525064742"/>
      <w:r>
        <w:rPr>
          <w:b/>
          <w:bCs/>
          <w:kern w:val="0"/>
          <w:szCs w:val="21"/>
        </w:rPr>
        <w:t>乙方在此不可撤销地同意，当乙方欠付甲方任何到期</w:t>
      </w:r>
      <w:r>
        <w:rPr>
          <w:b/>
          <w:kern w:val="0"/>
          <w:szCs w:val="21"/>
        </w:rPr>
        <w:t>（包括提前到期的情形）</w:t>
      </w:r>
      <w:r>
        <w:rPr>
          <w:b/>
          <w:bCs/>
          <w:kern w:val="0"/>
          <w:szCs w:val="21"/>
        </w:rPr>
        <w:t>应付未付债务时，甲方有权随时从乙方在平安银行任何及/或所有营业机构开立的任一账户中直接扣收该等债务本息及/或其他任何相关费用之全部或部分，及/或处置变现该等账户中的乙方资产用于清偿乙方所欠甲方债务；由此产生的利息、汇率及/或投资损失由乙方承担。</w:t>
      </w:r>
    </w:p>
    <w:p w14:paraId="02B20253">
      <w:pPr>
        <w:numPr>
          <w:ilvl w:val="1"/>
          <w:numId w:val="19"/>
        </w:numPr>
        <w:spacing w:line="370" w:lineRule="exact"/>
        <w:ind w:left="422" w:hanging="422" w:hangingChars="200"/>
        <w:rPr>
          <w:b/>
          <w:bCs/>
          <w:kern w:val="0"/>
          <w:szCs w:val="21"/>
        </w:rPr>
      </w:pPr>
      <w:r>
        <w:rPr>
          <w:b/>
          <w:bCs/>
          <w:kern w:val="0"/>
          <w:szCs w:val="21"/>
        </w:rPr>
        <w:t>甲方在扣收或处置变现扣收后通知乙方，并有权继续向乙方追索不足部分（若有）；扣收所得款项涉及多笔债权或不足以清偿全部到期债务（包括本金、利息及/或费用）时，除非本合同另有明确约定，甲方有权决定所扣收款项的具体清偿顺序。</w:t>
      </w:r>
    </w:p>
    <w:p w14:paraId="79463FFC">
      <w:pPr>
        <w:numPr>
          <w:ilvl w:val="1"/>
          <w:numId w:val="19"/>
        </w:numPr>
        <w:spacing w:line="370" w:lineRule="exact"/>
        <w:ind w:left="422" w:hanging="422" w:hangingChars="200"/>
        <w:rPr>
          <w:b/>
          <w:bCs/>
          <w:kern w:val="0"/>
          <w:szCs w:val="21"/>
        </w:rPr>
      </w:pPr>
      <w:r>
        <w:rPr>
          <w:b/>
          <w:bCs/>
          <w:kern w:val="0"/>
          <w:szCs w:val="21"/>
        </w:rPr>
        <w:t>扣收过程中涉及币种换算的，按甲方扣收时公布的外汇汇率执行。</w:t>
      </w:r>
    </w:p>
    <w:bookmarkEnd w:id="2"/>
    <w:bookmarkEnd w:id="3"/>
    <w:p w14:paraId="69FCAF91">
      <w:pPr>
        <w:spacing w:line="370" w:lineRule="exact"/>
        <w:rPr>
          <w:kern w:val="0"/>
          <w:szCs w:val="21"/>
        </w:rPr>
      </w:pPr>
    </w:p>
    <w:p w14:paraId="314EFFF1">
      <w:pPr>
        <w:spacing w:line="370" w:lineRule="exact"/>
        <w:rPr>
          <w:kern w:val="0"/>
          <w:szCs w:val="21"/>
        </w:rPr>
      </w:pPr>
    </w:p>
    <w:p w14:paraId="7CA29F6C">
      <w:pPr>
        <w:pStyle w:val="23"/>
        <w:numPr>
          <w:ilvl w:val="0"/>
          <w:numId w:val="1"/>
        </w:numPr>
        <w:spacing w:line="370" w:lineRule="exact"/>
        <w:ind w:left="0" w:firstLine="0" w:firstLineChars="0"/>
        <w:jc w:val="center"/>
        <w:outlineLvl w:val="1"/>
        <w:rPr>
          <w:rFonts w:ascii="Times New Roman" w:hAnsi="Times New Roman" w:eastAsia="宋体" w:cs="Times New Roman"/>
          <w:b/>
          <w:bCs/>
          <w:kern w:val="0"/>
          <w:szCs w:val="21"/>
        </w:rPr>
      </w:pPr>
      <w:r>
        <w:rPr>
          <w:rFonts w:ascii="Times New Roman" w:hAnsi="Times New Roman" w:eastAsia="宋体" w:cs="Times New Roman"/>
          <w:b/>
          <w:bCs/>
          <w:kern w:val="0"/>
          <w:szCs w:val="21"/>
        </w:rPr>
        <w:t>其他约定事项</w:t>
      </w:r>
    </w:p>
    <w:p w14:paraId="1BDADE85">
      <w:pPr>
        <w:spacing w:line="370" w:lineRule="exact"/>
        <w:rPr>
          <w:kern w:val="0"/>
          <w:szCs w:val="21"/>
          <w:u w:val="single"/>
        </w:rPr>
      </w:pPr>
      <w:r>
        <w:rPr>
          <w:kern w:val="0"/>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C57876">
      <w:pPr>
        <w:spacing w:line="370" w:lineRule="exact"/>
        <w:rPr>
          <w:b/>
          <w:bCs/>
          <w:kern w:val="0"/>
          <w:szCs w:val="21"/>
        </w:rPr>
      </w:pPr>
    </w:p>
    <w:p w14:paraId="37CDFF20">
      <w:pPr>
        <w:pStyle w:val="23"/>
        <w:numPr>
          <w:ilvl w:val="0"/>
          <w:numId w:val="1"/>
        </w:numPr>
        <w:spacing w:line="370" w:lineRule="exact"/>
        <w:ind w:left="0" w:firstLine="0" w:firstLineChars="0"/>
        <w:jc w:val="center"/>
        <w:outlineLvl w:val="1"/>
        <w:rPr>
          <w:rFonts w:ascii="Times New Roman" w:hAnsi="Times New Roman" w:eastAsia="宋体" w:cs="Times New Roman"/>
          <w:b/>
          <w:bCs/>
          <w:kern w:val="0"/>
          <w:szCs w:val="21"/>
        </w:rPr>
      </w:pPr>
      <w:r>
        <w:rPr>
          <w:rFonts w:ascii="Times New Roman" w:hAnsi="Times New Roman" w:eastAsia="宋体" w:cs="Times New Roman"/>
          <w:b/>
          <w:bCs/>
          <w:kern w:val="0"/>
          <w:szCs w:val="21"/>
        </w:rPr>
        <w:t>附则</w:t>
      </w:r>
    </w:p>
    <w:p w14:paraId="3167259E">
      <w:pPr>
        <w:numPr>
          <w:ilvl w:val="1"/>
          <w:numId w:val="20"/>
        </w:numPr>
        <w:spacing w:line="370" w:lineRule="exact"/>
        <w:ind w:left="420" w:hanging="420" w:hangingChars="200"/>
        <w:rPr>
          <w:kern w:val="0"/>
          <w:szCs w:val="21"/>
        </w:rPr>
      </w:pPr>
      <w:r>
        <w:rPr>
          <w:kern w:val="0"/>
          <w:szCs w:val="21"/>
        </w:rPr>
        <w:t>本合同项下提及的“到期”或期限“届满”包括自然到期以及甲方宣布提前到期的情形；本合同项下提及“利息”时，除非根据上下文意另有所指，应视为包括正常利息、逾期罚息、挪用罚息、复利（如有）；本合同中规定的日期或期间的最后一日遇法定节假日的，除非本合同另有相关约定，否则应顺延至法定节假日后的第一个工作日。</w:t>
      </w:r>
    </w:p>
    <w:p w14:paraId="6CD4AC92">
      <w:pPr>
        <w:numPr>
          <w:ilvl w:val="1"/>
          <w:numId w:val="20"/>
        </w:numPr>
        <w:spacing w:line="370" w:lineRule="exact"/>
        <w:ind w:left="422" w:hanging="422" w:hangingChars="200"/>
        <w:rPr>
          <w:b/>
          <w:bCs/>
          <w:kern w:val="0"/>
        </w:rPr>
      </w:pPr>
      <w:r>
        <w:rPr>
          <w:b/>
          <w:bCs/>
          <w:kern w:val="0"/>
        </w:rPr>
        <w:t>涉及线上化操作的特别约定。</w:t>
      </w:r>
      <w:r>
        <w:rPr>
          <w:b/>
          <w:bCs/>
          <w:kern w:val="0"/>
          <w:szCs w:val="21"/>
        </w:rPr>
        <w:t>本合同</w:t>
      </w:r>
      <w:r>
        <w:rPr>
          <w:b/>
          <w:bCs/>
          <w:kern w:val="0"/>
        </w:rPr>
        <w:t>各方在此一致同意并认可，为提高</w:t>
      </w:r>
      <w:r>
        <w:rPr>
          <w:b/>
          <w:bCs/>
          <w:kern w:val="0"/>
          <w:szCs w:val="21"/>
        </w:rPr>
        <w:t>合同</w:t>
      </w:r>
      <w:r>
        <w:rPr>
          <w:b/>
          <w:bCs/>
          <w:kern w:val="0"/>
        </w:rPr>
        <w:t>履行和实施效率，在法律允许的范围内并根据甲方对不同品种授信或业务的具体要求及允许，</w:t>
      </w:r>
      <w:r>
        <w:rPr>
          <w:b/>
          <w:bCs/>
          <w:kern w:val="0"/>
          <w:szCs w:val="21"/>
        </w:rPr>
        <w:t>本合同</w:t>
      </w:r>
      <w:r>
        <w:rPr>
          <w:b/>
          <w:bCs/>
          <w:kern w:val="0"/>
        </w:rPr>
        <w:t>项下相关事项亦可由乙方通过甲方提供或经甲方认可的电子银行或线上系统实施；乙方在此确认同意有关以电子银行或线上系统实施</w:t>
      </w:r>
      <w:r>
        <w:rPr>
          <w:b/>
          <w:bCs/>
          <w:kern w:val="0"/>
          <w:szCs w:val="21"/>
        </w:rPr>
        <w:t>本合同</w:t>
      </w:r>
      <w:r>
        <w:rPr>
          <w:b/>
          <w:bCs/>
          <w:kern w:val="0"/>
        </w:rPr>
        <w:t>的条款内容如下：</w:t>
      </w:r>
    </w:p>
    <w:p w14:paraId="0302AEC6">
      <w:pPr>
        <w:pStyle w:val="23"/>
        <w:numPr>
          <w:ilvl w:val="0"/>
          <w:numId w:val="21"/>
        </w:numPr>
        <w:spacing w:line="370" w:lineRule="exact"/>
        <w:ind w:left="1050" w:leftChars="200" w:hanging="630" w:hangingChars="300"/>
        <w:rPr>
          <w:rFonts w:ascii="Times New Roman" w:hAnsi="Times New Roman" w:eastAsia="宋体" w:cs="Times New Roman"/>
          <w:kern w:val="0"/>
        </w:rPr>
      </w:pPr>
      <w:r>
        <w:rPr>
          <w:rFonts w:ascii="Times New Roman" w:hAnsi="Times New Roman" w:eastAsia="宋体" w:cs="Times New Roman"/>
          <w:kern w:val="0"/>
        </w:rPr>
        <w:t>为免疑义，前述</w:t>
      </w:r>
      <w:r>
        <w:rPr>
          <w:rFonts w:ascii="Times New Roman" w:hAnsi="Times New Roman" w:eastAsia="宋体" w:cs="Times New Roman"/>
          <w:kern w:val="0"/>
          <w:szCs w:val="21"/>
        </w:rPr>
        <w:t>“电子银行”的含义为：电子银行包括利用计算机和互联网提供银行业务支持的金融服务系统（以下或简称“</w:t>
      </w:r>
      <w:r>
        <w:rPr>
          <w:rFonts w:ascii="Times New Roman" w:hAnsi="Times New Roman" w:eastAsia="宋体" w:cs="Times New Roman"/>
          <w:b/>
          <w:bCs/>
          <w:kern w:val="0"/>
        </w:rPr>
        <w:t>网上银行</w:t>
      </w:r>
      <w:r>
        <w:rPr>
          <w:rFonts w:ascii="Times New Roman" w:hAnsi="Times New Roman" w:eastAsia="宋体" w:cs="Times New Roman"/>
          <w:kern w:val="0"/>
          <w:szCs w:val="21"/>
        </w:rPr>
        <w:t>”），利用电话等声讯设备和电信网络提供银行业务支持的金融服务系统（以下或简称“</w:t>
      </w:r>
      <w:r>
        <w:rPr>
          <w:rFonts w:ascii="Times New Roman" w:hAnsi="Times New Roman" w:eastAsia="宋体" w:cs="Times New Roman"/>
          <w:b/>
          <w:bCs/>
          <w:kern w:val="0"/>
        </w:rPr>
        <w:t>电话银行</w:t>
      </w:r>
      <w:r>
        <w:rPr>
          <w:rFonts w:ascii="Times New Roman" w:hAnsi="Times New Roman" w:eastAsia="宋体" w:cs="Times New Roman"/>
          <w:kern w:val="0"/>
          <w:szCs w:val="21"/>
        </w:rPr>
        <w:t>”），利用移动电话和无线网络提供银行业务支持的金融服务系统（以下或简称“</w:t>
      </w:r>
      <w:r>
        <w:rPr>
          <w:rFonts w:ascii="Times New Roman" w:hAnsi="Times New Roman" w:eastAsia="宋体" w:cs="Times New Roman"/>
          <w:b/>
          <w:bCs/>
          <w:kern w:val="0"/>
        </w:rPr>
        <w:t>手机银行</w:t>
      </w:r>
      <w:r>
        <w:rPr>
          <w:rFonts w:ascii="Times New Roman" w:hAnsi="Times New Roman" w:eastAsia="宋体" w:cs="Times New Roman"/>
          <w:kern w:val="0"/>
          <w:szCs w:val="21"/>
        </w:rPr>
        <w:t>”），以及其他利用电子服务设备和网络，支持客户通过自助服务方式完成金融交易的金融服务系统</w:t>
      </w:r>
      <w:r>
        <w:rPr>
          <w:rFonts w:ascii="Times New Roman" w:hAnsi="Times New Roman" w:eastAsia="宋体" w:cs="Times New Roman"/>
          <w:kern w:val="0"/>
        </w:rPr>
        <w:t>。</w:t>
      </w:r>
    </w:p>
    <w:p w14:paraId="01390BDB">
      <w:pPr>
        <w:pStyle w:val="23"/>
        <w:spacing w:line="370" w:lineRule="exact"/>
        <w:ind w:left="1050" w:firstLine="0" w:firstLineChars="0"/>
        <w:rPr>
          <w:rFonts w:ascii="Times New Roman" w:hAnsi="Times New Roman" w:eastAsia="宋体" w:cs="Times New Roman"/>
          <w:kern w:val="0"/>
        </w:rPr>
      </w:pPr>
      <w:r>
        <w:rPr>
          <w:rFonts w:ascii="Times New Roman" w:hAnsi="Times New Roman" w:eastAsia="宋体" w:cs="Times New Roman"/>
          <w:kern w:val="0"/>
        </w:rPr>
        <w:t>客户通过访问甲方提供</w:t>
      </w:r>
      <w:r>
        <w:rPr>
          <w:rFonts w:ascii="Times New Roman" w:hAnsi="Times New Roman" w:eastAsia="宋体" w:cs="Times New Roman"/>
          <w:bCs/>
          <w:kern w:val="0"/>
        </w:rPr>
        <w:t>或经甲方认可</w:t>
      </w:r>
      <w:r>
        <w:rPr>
          <w:rFonts w:ascii="Times New Roman" w:hAnsi="Times New Roman" w:eastAsia="宋体" w:cs="Times New Roman"/>
          <w:kern w:val="0"/>
        </w:rPr>
        <w:t>的电子银行及/或电子银行所连接的银行业务系统、</w:t>
      </w:r>
      <w:r>
        <w:rPr>
          <w:rFonts w:ascii="Times New Roman" w:hAnsi="Times New Roman" w:eastAsia="宋体" w:cs="Times New Roman"/>
          <w:kern w:val="0"/>
          <w:szCs w:val="21"/>
        </w:rPr>
        <w:t>或其他基于互联网或网络的线上业务平台或系统（前述诸项本合同中或合称为“</w:t>
      </w:r>
      <w:r>
        <w:rPr>
          <w:rFonts w:ascii="Times New Roman" w:hAnsi="Times New Roman" w:eastAsia="宋体" w:cs="Times New Roman"/>
          <w:b/>
          <w:bCs/>
          <w:kern w:val="0"/>
          <w:szCs w:val="21"/>
        </w:rPr>
        <w:t>线上系统</w:t>
      </w:r>
      <w:r>
        <w:rPr>
          <w:rFonts w:ascii="Times New Roman" w:hAnsi="Times New Roman" w:eastAsia="宋体" w:cs="Times New Roman"/>
          <w:kern w:val="0"/>
          <w:szCs w:val="21"/>
        </w:rPr>
        <w:t>”），以实现</w:t>
      </w:r>
      <w:r>
        <w:rPr>
          <w:rFonts w:ascii="Times New Roman" w:hAnsi="Times New Roman" w:eastAsia="宋体" w:cs="Times New Roman"/>
          <w:kern w:val="0"/>
        </w:rPr>
        <w:t>与甲方间相关业务或合作的实施。</w:t>
      </w:r>
    </w:p>
    <w:p w14:paraId="0C86CD15">
      <w:pPr>
        <w:pStyle w:val="23"/>
        <w:numPr>
          <w:ilvl w:val="0"/>
          <w:numId w:val="21"/>
        </w:numPr>
        <w:spacing w:line="370" w:lineRule="exact"/>
        <w:ind w:left="1050" w:leftChars="200" w:hanging="630" w:hangingChars="300"/>
        <w:rPr>
          <w:rFonts w:ascii="Times New Roman" w:hAnsi="Times New Roman" w:eastAsia="宋体" w:cs="Times New Roman"/>
          <w:kern w:val="0"/>
        </w:rPr>
      </w:pPr>
      <w:r>
        <w:rPr>
          <w:rFonts w:ascii="Times New Roman" w:hAnsi="Times New Roman" w:eastAsia="宋体" w:cs="Times New Roman"/>
          <w:kern w:val="0"/>
        </w:rPr>
        <w:t>在法律允许的范围内并根据甲方对不同品种授信业务不时的具体政策、要求及允许，乙方可通过甲方提供</w:t>
      </w:r>
      <w:r>
        <w:rPr>
          <w:rFonts w:ascii="Times New Roman" w:hAnsi="Times New Roman" w:eastAsia="宋体" w:cs="Times New Roman"/>
          <w:bCs/>
          <w:kern w:val="0"/>
        </w:rPr>
        <w:t>或经甲方认可</w:t>
      </w:r>
      <w:r>
        <w:rPr>
          <w:rFonts w:ascii="Times New Roman" w:hAnsi="Times New Roman" w:eastAsia="宋体" w:cs="Times New Roman"/>
          <w:kern w:val="0"/>
        </w:rPr>
        <w:t>的电子银行或线上系统履行</w:t>
      </w:r>
      <w:r>
        <w:rPr>
          <w:rFonts w:ascii="Times New Roman" w:hAnsi="Times New Roman" w:eastAsia="宋体" w:cs="Times New Roman"/>
          <w:kern w:val="0"/>
          <w:szCs w:val="21"/>
        </w:rPr>
        <w:t>本合同</w:t>
      </w:r>
      <w:r>
        <w:rPr>
          <w:rFonts w:ascii="Times New Roman" w:hAnsi="Times New Roman" w:eastAsia="宋体" w:cs="Times New Roman"/>
          <w:kern w:val="0"/>
        </w:rPr>
        <w:t>项下相关权利及承担义务，包括但不限于（根据具体实际情形）乙方申请</w:t>
      </w:r>
      <w:r>
        <w:rPr>
          <w:rFonts w:ascii="Times New Roman" w:hAnsi="Times New Roman" w:eastAsia="宋体" w:cs="Times New Roman"/>
          <w:kern w:val="0"/>
          <w:szCs w:val="21"/>
        </w:rPr>
        <w:t>本合同</w:t>
      </w:r>
      <w:r>
        <w:rPr>
          <w:rFonts w:ascii="Times New Roman" w:hAnsi="Times New Roman" w:eastAsia="宋体" w:cs="Times New Roman"/>
          <w:kern w:val="0"/>
        </w:rPr>
        <w:t>项下任何具体授信的提用（即额度动用）、甲方对乙方所申请任何具体授信的实际提供（如适用）、乙方对</w:t>
      </w:r>
      <w:r>
        <w:rPr>
          <w:rFonts w:ascii="Times New Roman" w:hAnsi="Times New Roman" w:eastAsia="宋体" w:cs="Times New Roman"/>
          <w:kern w:val="0"/>
          <w:szCs w:val="21"/>
        </w:rPr>
        <w:t>本合同</w:t>
      </w:r>
      <w:r>
        <w:rPr>
          <w:rFonts w:ascii="Times New Roman" w:hAnsi="Times New Roman" w:eastAsia="宋体" w:cs="Times New Roman"/>
          <w:kern w:val="0"/>
        </w:rPr>
        <w:t>项下具体授信项下债务的偿还等。</w:t>
      </w:r>
      <w:r>
        <w:rPr>
          <w:rFonts w:ascii="Times New Roman" w:hAnsi="Times New Roman" w:eastAsia="宋体" w:cs="Times New Roman"/>
          <w:b/>
          <w:bCs/>
          <w:kern w:val="0"/>
        </w:rPr>
        <w:t>乙方可通过电子银行或线上系统实施的具体授信品种及政策以甲方最新发布为准；电子银行或线上系统的线上流程及相关电子文书格式以甲方最新发布为准；甲方有权根据需要暂停或关闭全部或部分具体授信品种的电子银行或线上系统受理渠道或电子银行或线上系统功能，此时乙方或乙方同意的第三方应根据甲方要求通过线下履行包括按时足额还款在内的所有合同义务。</w:t>
      </w:r>
    </w:p>
    <w:p w14:paraId="77F06164">
      <w:pPr>
        <w:pStyle w:val="23"/>
        <w:numPr>
          <w:ilvl w:val="0"/>
          <w:numId w:val="21"/>
        </w:numPr>
        <w:spacing w:line="370" w:lineRule="exact"/>
        <w:ind w:left="1052" w:leftChars="200" w:hanging="632" w:hangingChars="300"/>
        <w:rPr>
          <w:rFonts w:ascii="Times New Roman" w:hAnsi="Times New Roman" w:eastAsia="宋体" w:cs="Times New Roman"/>
          <w:b/>
          <w:bCs/>
          <w:kern w:val="0"/>
        </w:rPr>
      </w:pPr>
      <w:r>
        <w:rPr>
          <w:rFonts w:ascii="Times New Roman" w:hAnsi="Times New Roman" w:eastAsia="宋体" w:cs="Times New Roman"/>
          <w:b/>
          <w:bCs/>
          <w:kern w:val="0"/>
        </w:rPr>
        <w:t>乙方通过电子银行或线上系统提交文件、参与业务流程处理、使用授信额度或融资及/或还款时，乙方同意并确认，凭乙方自身的电子银行或线上系统登录验证方式（包括但不限于电子签名、U盾及/或用户名/账号或密码）进入甲方电子银行或线上系统后所进行的所有操作均视为乙方真实意思表示，由乙方承担相关责任。乙方充分认识到其自身的电子银行或线上系统登录验证方式相关信息（如用户名/账号或密码等）及验证实体（如U盾等）的重要性和敏感性，并意识到管理不善可能带来的重大资金损失，并承诺将采取足够的注意程度和安全保障措施确保仅由自身有效管控和持有；由于乙方保管不善等原因导致其电子银行或线上系统登录验证方式相关信息泄露及/或验证实体（如U盾）被他人盗用的，所产生的一切后果均由乙方自行承担。</w:t>
      </w:r>
    </w:p>
    <w:p w14:paraId="4ACBAFB0">
      <w:pPr>
        <w:pStyle w:val="23"/>
        <w:numPr>
          <w:ilvl w:val="0"/>
          <w:numId w:val="21"/>
        </w:numPr>
        <w:spacing w:line="370" w:lineRule="exact"/>
        <w:ind w:left="1052" w:leftChars="200" w:hanging="632" w:hangingChars="300"/>
        <w:rPr>
          <w:rFonts w:ascii="Times New Roman" w:hAnsi="Times New Roman" w:eastAsia="宋体" w:cs="Times New Roman"/>
          <w:b/>
          <w:bCs/>
          <w:kern w:val="0"/>
        </w:rPr>
      </w:pPr>
      <w:r>
        <w:rPr>
          <w:rFonts w:ascii="Times New Roman" w:hAnsi="Times New Roman" w:eastAsia="宋体" w:cs="Times New Roman"/>
          <w:b/>
          <w:bCs/>
          <w:kern w:val="0"/>
        </w:rPr>
        <w:t>乙方通过电子银行或线上系统提交文件、参与业务流程处理、使用授信额度或办理融资业务时，获得的每一项服务或每一笔授信或融资的产生、存在、延续、消灭等，均以甲方电子银行或线上系统记录作为各方法律关系成立的依据及</w:t>
      </w:r>
      <w:r>
        <w:rPr>
          <w:rFonts w:ascii="Times New Roman" w:hAnsi="Times New Roman" w:eastAsia="宋体" w:cs="Times New Roman"/>
          <w:b/>
          <w:bCs/>
          <w:kern w:val="0"/>
          <w:szCs w:val="21"/>
        </w:rPr>
        <w:t>本合同</w:t>
      </w:r>
      <w:r>
        <w:rPr>
          <w:rFonts w:ascii="Times New Roman" w:hAnsi="Times New Roman" w:eastAsia="宋体" w:cs="Times New Roman"/>
          <w:b/>
          <w:bCs/>
          <w:kern w:val="0"/>
        </w:rPr>
        <w:t>履行的相关证据；甲方通过电子银行或线上系统向乙方提供服务或授信的记录或发放融资的转账记录作为乙方接受服务或授信或融资的有效依据。若由于乙方未按电子银行或线上系统提示操作而导致融资未能发放或错误发放，由此引起的一切后果由乙方承担。</w:t>
      </w:r>
    </w:p>
    <w:p w14:paraId="7ED604EB">
      <w:pPr>
        <w:pStyle w:val="23"/>
        <w:numPr>
          <w:ilvl w:val="0"/>
          <w:numId w:val="21"/>
        </w:numPr>
        <w:spacing w:line="370" w:lineRule="exact"/>
        <w:ind w:left="1052" w:leftChars="200" w:hanging="632" w:hangingChars="300"/>
        <w:rPr>
          <w:rFonts w:ascii="Times New Roman" w:hAnsi="Times New Roman" w:eastAsia="宋体" w:cs="Times New Roman"/>
          <w:b/>
          <w:bCs/>
          <w:kern w:val="0"/>
        </w:rPr>
      </w:pPr>
      <w:r>
        <w:rPr>
          <w:rFonts w:ascii="Times New Roman" w:hAnsi="Times New Roman" w:eastAsia="宋体" w:cs="Times New Roman"/>
          <w:b/>
          <w:bCs/>
          <w:kern w:val="0"/>
        </w:rPr>
        <w:t>乙方通过电子银行或线上系统办理还款业务或履行偿付任何义务时，每一笔融资或资金的归还均以甲方电子银行或线上系统记录作为依据；乙方通过电子银行或线上系统向甲方还款或偿付的转账记录作为乙方还款或偿付的有效依据。乙方应及时查询还款交易是否成功，若由于乙方未按电子银行或线上系统提示操作或电子银行或线上系统故障而导致融资归还或应履行的债务偿付未及时完成，甲方不负责由此引起的乙方的损失。</w:t>
      </w:r>
    </w:p>
    <w:p w14:paraId="623B7BEA">
      <w:pPr>
        <w:pStyle w:val="23"/>
        <w:numPr>
          <w:ilvl w:val="0"/>
          <w:numId w:val="21"/>
        </w:numPr>
        <w:spacing w:line="370" w:lineRule="exact"/>
        <w:ind w:left="1052" w:leftChars="200" w:hanging="632" w:hangingChars="300"/>
        <w:rPr>
          <w:rFonts w:ascii="Times New Roman" w:hAnsi="Times New Roman" w:eastAsia="宋体" w:cs="Times New Roman"/>
          <w:b/>
          <w:bCs/>
          <w:kern w:val="0"/>
        </w:rPr>
      </w:pPr>
      <w:r>
        <w:rPr>
          <w:rFonts w:ascii="Times New Roman" w:hAnsi="Times New Roman" w:eastAsia="宋体" w:cs="Times New Roman"/>
          <w:b/>
          <w:bCs/>
          <w:kern w:val="0"/>
        </w:rPr>
        <w:t>乙方应妥善保管好有关账号、密码、与系统登录验证有关的手机号码、动态验证码（如适用）等信息；乙方应确保使用电子银行或线上系统的移动设备及电脑设备的环境安全，并不向别人泄露以上信息。对于乙方的移动设备及/或电脑设备的环境安全问题或账号或密码泄露造成的损失，由乙方自行承担。如乙方发现账号或密码等存在冒用风险，或者有他人冒用乙方的账号或密码申请</w:t>
      </w:r>
      <w:r>
        <w:rPr>
          <w:rFonts w:ascii="Times New Roman" w:hAnsi="Times New Roman" w:eastAsia="宋体" w:cs="Times New Roman"/>
          <w:b/>
          <w:bCs/>
          <w:kern w:val="0"/>
          <w:szCs w:val="21"/>
        </w:rPr>
        <w:t>本合同</w:t>
      </w:r>
      <w:r>
        <w:rPr>
          <w:rFonts w:ascii="Times New Roman" w:hAnsi="Times New Roman" w:eastAsia="宋体" w:cs="Times New Roman"/>
          <w:b/>
          <w:bCs/>
          <w:kern w:val="0"/>
        </w:rPr>
        <w:t>项下授信业务的，乙方应立即通知甲方并要求暂停服务。同时，乙方应理解甲方对乙方的要求采取行动需要必要合理时间，在此之前，甲方对已执行的指令及（或）导致的损失不承担任何责任。</w:t>
      </w:r>
    </w:p>
    <w:p w14:paraId="756F39D7">
      <w:pPr>
        <w:pStyle w:val="23"/>
        <w:numPr>
          <w:ilvl w:val="0"/>
          <w:numId w:val="21"/>
        </w:numPr>
        <w:spacing w:line="370" w:lineRule="exact"/>
        <w:ind w:left="1052" w:leftChars="200" w:hanging="632" w:hangingChars="300"/>
        <w:rPr>
          <w:rFonts w:ascii="Times New Roman" w:hAnsi="Times New Roman" w:eastAsia="宋体" w:cs="Times New Roman"/>
          <w:b/>
          <w:bCs/>
          <w:kern w:val="0"/>
        </w:rPr>
      </w:pPr>
      <w:r>
        <w:rPr>
          <w:rFonts w:ascii="Times New Roman" w:hAnsi="Times New Roman" w:eastAsia="宋体" w:cs="Times New Roman"/>
          <w:b/>
          <w:bCs/>
          <w:kern w:val="0"/>
        </w:rPr>
        <w:t>甲方系统因临时维护、突发故障等原因，暂停电子银行或线上系统使用时，无须提前通知乙方。但如遇甲方系统阶段性维护、升级等可预测情形，甲方可通过自身网站等渠道提前通知乙方。</w:t>
      </w:r>
    </w:p>
    <w:p w14:paraId="64F35855">
      <w:pPr>
        <w:pStyle w:val="23"/>
        <w:numPr>
          <w:ilvl w:val="0"/>
          <w:numId w:val="21"/>
        </w:numPr>
        <w:spacing w:line="370" w:lineRule="exact"/>
        <w:ind w:left="1052" w:leftChars="200" w:hanging="632" w:hangingChars="300"/>
        <w:rPr>
          <w:rFonts w:ascii="Times New Roman" w:hAnsi="Times New Roman" w:eastAsia="宋体" w:cs="Times New Roman"/>
          <w:b/>
          <w:bCs/>
          <w:kern w:val="0"/>
        </w:rPr>
      </w:pPr>
      <w:r>
        <w:rPr>
          <w:rFonts w:ascii="Times New Roman" w:hAnsi="Times New Roman" w:eastAsia="宋体" w:cs="Times New Roman"/>
          <w:b/>
          <w:bCs/>
          <w:kern w:val="0"/>
        </w:rPr>
        <w:t>乙方进一步确认理解电子银行或线上系统系甲方为提高效率额外提供的便利服务方式，如电子银行或线上系统因故无法访问或使用，乙方仍可通过传统线下方式联系甲方商洽业务办理，或等待甲方电子银行或线上系统恢复后使用；如因：（a）法律法规的变化、监管或政策的调整；（b）台风、海啸、洪水、暴雨、火灾、地震、飓风、停电、战争、恐怖袭击等不可抗力因素导致或可能导致甲方系统障碍不能执行业务的；（c）电信设备出现故障不能进行数据传输或业务处理的；（d）由于黑客袭击、电信部门或其他有信息技术依赖的部门、企事业单位技术调整或故障、网站升级等原因造成服务延迟或中断的；或（e）因线上服务平台或其他贷款/融资服务平台系统（如适用）处于维护或升级期间，如上述任何因素的发生可能影响甲方电子银行或线上系统继续运行或甲方提供服务的，甲方可视情形停止以电子银行渠道受理服务需求而不构成</w:t>
      </w:r>
      <w:r>
        <w:rPr>
          <w:rFonts w:ascii="Times New Roman" w:hAnsi="Times New Roman" w:eastAsia="宋体" w:cs="Times New Roman"/>
          <w:b/>
          <w:bCs/>
          <w:kern w:val="0"/>
          <w:szCs w:val="21"/>
        </w:rPr>
        <w:t>本合同</w:t>
      </w:r>
      <w:r>
        <w:rPr>
          <w:rFonts w:ascii="Times New Roman" w:hAnsi="Times New Roman" w:eastAsia="宋体" w:cs="Times New Roman"/>
          <w:b/>
          <w:bCs/>
          <w:kern w:val="0"/>
        </w:rPr>
        <w:t>项下违约；甲方将适时通知乙方此等情形。</w:t>
      </w:r>
    </w:p>
    <w:p w14:paraId="41727FEC">
      <w:pPr>
        <w:pStyle w:val="23"/>
        <w:numPr>
          <w:ilvl w:val="0"/>
          <w:numId w:val="21"/>
        </w:numPr>
        <w:spacing w:line="370" w:lineRule="exact"/>
        <w:ind w:left="1052" w:leftChars="200" w:hanging="632" w:hangingChars="300"/>
        <w:rPr>
          <w:rFonts w:ascii="Times New Roman" w:hAnsi="Times New Roman" w:eastAsia="宋体" w:cs="Times New Roman"/>
          <w:b/>
          <w:bCs/>
          <w:kern w:val="0"/>
        </w:rPr>
      </w:pPr>
      <w:r>
        <w:rPr>
          <w:rFonts w:ascii="Times New Roman" w:hAnsi="Times New Roman" w:eastAsia="宋体" w:cs="Times New Roman"/>
          <w:b/>
          <w:bCs/>
          <w:kern w:val="0"/>
        </w:rPr>
        <w:t>关于线上通讯的特别约定：除</w:t>
      </w:r>
      <w:r>
        <w:rPr>
          <w:rFonts w:ascii="Times New Roman" w:hAnsi="Times New Roman" w:eastAsia="宋体" w:cs="Times New Roman"/>
          <w:b/>
          <w:bCs/>
          <w:kern w:val="0"/>
          <w:szCs w:val="21"/>
        </w:rPr>
        <w:t>本合同</w:t>
      </w:r>
      <w:r>
        <w:rPr>
          <w:rFonts w:ascii="Times New Roman" w:hAnsi="Times New Roman" w:eastAsia="宋体" w:cs="Times New Roman"/>
          <w:b/>
          <w:bCs/>
          <w:kern w:val="0"/>
        </w:rPr>
        <w:t>第九条（通知和送达）约定方式外，如</w:t>
      </w:r>
      <w:r>
        <w:rPr>
          <w:rFonts w:ascii="Times New Roman" w:hAnsi="Times New Roman" w:eastAsia="宋体" w:cs="Times New Roman"/>
          <w:b/>
          <w:bCs/>
          <w:kern w:val="0"/>
          <w:szCs w:val="21"/>
        </w:rPr>
        <w:t>本合同</w:t>
      </w:r>
      <w:r>
        <w:rPr>
          <w:rFonts w:ascii="Times New Roman" w:hAnsi="Times New Roman" w:eastAsia="宋体" w:cs="Times New Roman"/>
          <w:b/>
          <w:bCs/>
          <w:kern w:val="0"/>
        </w:rPr>
        <w:t>各方系通过有关甲方所提供电子银行或线上系统开展</w:t>
      </w:r>
      <w:r>
        <w:rPr>
          <w:rFonts w:ascii="Times New Roman" w:hAnsi="Times New Roman" w:eastAsia="宋体" w:cs="Times New Roman"/>
          <w:b/>
          <w:bCs/>
          <w:kern w:val="0"/>
          <w:szCs w:val="21"/>
        </w:rPr>
        <w:t>本合同</w:t>
      </w:r>
      <w:r>
        <w:rPr>
          <w:rFonts w:ascii="Times New Roman" w:hAnsi="Times New Roman" w:eastAsia="宋体" w:cs="Times New Roman"/>
          <w:b/>
          <w:bCs/>
          <w:kern w:val="0"/>
        </w:rPr>
        <w:t>项下业务的，则各方通过该等电子银行或线上系统相互进行的通讯，在相应信息成功发送后亦视为有效送达（除非有其他明显证据证明该通知未成功送达）。就通过本条款所述方式进行的通讯，甲方可视情形豁免乙方根据前述</w:t>
      </w:r>
      <w:r>
        <w:rPr>
          <w:rFonts w:ascii="Times New Roman" w:hAnsi="Times New Roman" w:eastAsia="宋体" w:cs="Times New Roman"/>
          <w:b/>
          <w:bCs/>
          <w:kern w:val="0"/>
          <w:szCs w:val="21"/>
        </w:rPr>
        <w:t>本合同</w:t>
      </w:r>
      <w:r>
        <w:rPr>
          <w:rFonts w:ascii="Times New Roman" w:hAnsi="Times New Roman" w:eastAsia="宋体" w:cs="Times New Roman"/>
          <w:b/>
          <w:bCs/>
          <w:kern w:val="0"/>
        </w:rPr>
        <w:t>第九条（通知和送达）第9.1.2条第二段之乙方的事后补件义务。</w:t>
      </w:r>
    </w:p>
    <w:p w14:paraId="3EB803BE">
      <w:pPr>
        <w:numPr>
          <w:ilvl w:val="1"/>
          <w:numId w:val="20"/>
        </w:numPr>
        <w:spacing w:line="370" w:lineRule="exact"/>
        <w:ind w:left="420" w:hanging="420" w:hangingChars="200"/>
        <w:rPr>
          <w:kern w:val="0"/>
          <w:szCs w:val="21"/>
        </w:rPr>
      </w:pPr>
      <w:bookmarkStart w:id="4" w:name="_Hlk529474535"/>
      <w:r>
        <w:rPr>
          <w:kern w:val="0"/>
          <w:szCs w:val="21"/>
        </w:rPr>
        <w:t>有关公证的特别约定：</w:t>
      </w:r>
      <w:bookmarkEnd w:id="4"/>
    </w:p>
    <w:p w14:paraId="72A11FB7">
      <w:pPr>
        <w:pStyle w:val="23"/>
        <w:numPr>
          <w:ilvl w:val="0"/>
          <w:numId w:val="5"/>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双方同意对本合同办理强制执行公证。</w:t>
      </w:r>
    </w:p>
    <w:p w14:paraId="68CBA6D6">
      <w:pPr>
        <w:pStyle w:val="23"/>
        <w:spacing w:line="370" w:lineRule="exact"/>
        <w:ind w:left="1050" w:firstLine="0" w:firstLineChars="0"/>
        <w:rPr>
          <w:rFonts w:ascii="Times New Roman" w:hAnsi="Times New Roman" w:eastAsia="宋体" w:cs="Times New Roman"/>
          <w:kern w:val="0"/>
          <w:szCs w:val="21"/>
        </w:rPr>
      </w:pPr>
      <w:r>
        <w:rPr>
          <w:rFonts w:ascii="Times New Roman" w:hAnsi="Times New Roman" w:eastAsia="宋体" w:cs="Times New Roman"/>
          <w:kern w:val="0"/>
          <w:szCs w:val="21"/>
        </w:rPr>
        <w:t>本合同经双方办理赋予强制执行效力的公证后，乙方不履行或不完全履行合同约定的义务，甲方有权向原公证机关申请执行证书，并凭原公证书及执行证书向有管辖权的人民法院（即被执行人住所地或者被执行人的财产所在地的人民法院）申请执行。</w:t>
      </w:r>
    </w:p>
    <w:p w14:paraId="50B18AF0">
      <w:pPr>
        <w:pStyle w:val="23"/>
        <w:numPr>
          <w:ilvl w:val="0"/>
          <w:numId w:val="5"/>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本合同不办理强制执行公证。</w:t>
      </w:r>
    </w:p>
    <w:p w14:paraId="6E68CC74">
      <w:pPr>
        <w:numPr>
          <w:ilvl w:val="1"/>
          <w:numId w:val="20"/>
        </w:numPr>
        <w:spacing w:line="370" w:lineRule="exact"/>
        <w:ind w:left="420" w:hanging="420" w:hangingChars="200"/>
        <w:rPr>
          <w:kern w:val="0"/>
          <w:szCs w:val="21"/>
        </w:rPr>
      </w:pPr>
      <w:bookmarkStart w:id="5" w:name="_Hlk529474547"/>
      <w:r>
        <w:rPr>
          <w:kern w:val="0"/>
          <w:szCs w:val="21"/>
        </w:rPr>
        <w:t>在本合同生效期间，甲方对乙方的任何违约或延误行为施以任何宽容、宽限或延缓行使本合同内甲方应享有的权利，均不能损害、影响或限制甲方依本合同和有关法律规定作为债权人应享有的一切权利，不能作为甲方对任何破坏本合同行为的许可或认可，也不能视为甲方放弃对现有或将来违约行为采取行动的权利。</w:t>
      </w:r>
    </w:p>
    <w:bookmarkEnd w:id="5"/>
    <w:p w14:paraId="5177909C">
      <w:pPr>
        <w:numPr>
          <w:ilvl w:val="1"/>
          <w:numId w:val="20"/>
        </w:numPr>
        <w:spacing w:line="370" w:lineRule="exact"/>
        <w:ind w:left="420" w:hanging="420" w:hangingChars="200"/>
        <w:rPr>
          <w:kern w:val="0"/>
          <w:szCs w:val="21"/>
        </w:rPr>
      </w:pPr>
      <w:r>
        <w:rPr>
          <w:kern w:val="0"/>
          <w:szCs w:val="21"/>
        </w:rPr>
        <w:t>债权证据及其他文件。</w:t>
      </w:r>
    </w:p>
    <w:p w14:paraId="4EE020F0">
      <w:pPr>
        <w:pStyle w:val="23"/>
        <w:numPr>
          <w:ilvl w:val="0"/>
          <w:numId w:val="22"/>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本合同项下所涉单项授信申请书、授信合同、借款借据、授信凭证以及形成债权债务关系的其他法律性文件（包括但不限于甲方向乙方发送的所有与本合同有关的法律性文件、双方在办理业务过程中所形成的支付凭证、账户月结单、甲方所保存的有关乙方账户的交易记录、甲方向乙方发送的各种通知、</w:t>
      </w:r>
      <w:r>
        <w:rPr>
          <w:rFonts w:ascii="Times New Roman" w:hAnsi="Times New Roman" w:eastAsia="宋体" w:cs="Times New Roman"/>
          <w:bCs/>
          <w:kern w:val="0"/>
          <w:szCs w:val="21"/>
        </w:rPr>
        <w:t>乙方向甲方单方面出具的承诺函、声明书等文件</w:t>
      </w:r>
      <w:r>
        <w:rPr>
          <w:rFonts w:ascii="Times New Roman" w:hAnsi="Times New Roman" w:eastAsia="宋体" w:cs="Times New Roman"/>
          <w:kern w:val="0"/>
          <w:szCs w:val="21"/>
        </w:rPr>
        <w:t>等），均为本合同的有效组成部分，具同等法律效力。</w:t>
      </w:r>
    </w:p>
    <w:p w14:paraId="6074DC42">
      <w:pPr>
        <w:pStyle w:val="23"/>
        <w:numPr>
          <w:ilvl w:val="0"/>
          <w:numId w:val="22"/>
        </w:numPr>
        <w:spacing w:line="370" w:lineRule="exact"/>
        <w:ind w:left="1052" w:leftChars="200" w:hanging="632" w:hangingChars="300"/>
        <w:rPr>
          <w:rFonts w:ascii="Times New Roman" w:hAnsi="Times New Roman" w:eastAsia="宋体" w:cs="Times New Roman"/>
          <w:b/>
          <w:kern w:val="0"/>
          <w:szCs w:val="21"/>
        </w:rPr>
      </w:pPr>
      <w:r>
        <w:rPr>
          <w:rFonts w:ascii="Times New Roman" w:hAnsi="Times New Roman" w:eastAsia="宋体" w:cs="Times New Roman"/>
          <w:b/>
          <w:kern w:val="0"/>
          <w:szCs w:val="21"/>
        </w:rPr>
        <w:t>除非有经法院认定的相反证据，甲方有关本金、利息、费用和还款记录等内容的内部账务记载和系统记录，甲方出具或保留的乙方办理业务过程中发生的单据、支付凭证及银行催收、提示的记录、凭证、通知等，均构成有效证明双方之间债权关系的确定证据，乙方对此不持异议。</w:t>
      </w:r>
    </w:p>
    <w:p w14:paraId="4DA1CA63">
      <w:pPr>
        <w:pStyle w:val="23"/>
        <w:numPr>
          <w:ilvl w:val="0"/>
          <w:numId w:val="22"/>
        </w:numPr>
        <w:spacing w:line="370" w:lineRule="exact"/>
        <w:ind w:left="1052" w:leftChars="200" w:hanging="632" w:hangingChars="300"/>
        <w:rPr>
          <w:rFonts w:ascii="Times New Roman" w:hAnsi="Times New Roman" w:eastAsia="宋体" w:cs="Times New Roman"/>
          <w:b/>
          <w:kern w:val="0"/>
          <w:szCs w:val="21"/>
        </w:rPr>
      </w:pPr>
      <w:r>
        <w:rPr>
          <w:rFonts w:ascii="Times New Roman" w:hAnsi="Times New Roman" w:eastAsia="宋体" w:cs="Times New Roman"/>
          <w:b/>
          <w:kern w:val="0"/>
          <w:szCs w:val="21"/>
        </w:rPr>
        <w:t>就对账单而言，如乙方对甲方提供的业务对账单相关内容有异议的，应在收到对账单后的十日内提出，否则，视为乙方已认可对账单所列全部内容。</w:t>
      </w:r>
    </w:p>
    <w:p w14:paraId="05C01FB7">
      <w:pPr>
        <w:pStyle w:val="23"/>
        <w:numPr>
          <w:ilvl w:val="0"/>
          <w:numId w:val="22"/>
        </w:numPr>
        <w:spacing w:line="370" w:lineRule="exact"/>
        <w:ind w:left="1050" w:leftChars="200" w:hanging="630" w:hangingChars="300"/>
        <w:rPr>
          <w:rFonts w:ascii="Times New Roman" w:hAnsi="Times New Roman" w:eastAsia="宋体" w:cs="Times New Roman"/>
          <w:kern w:val="0"/>
          <w:szCs w:val="21"/>
        </w:rPr>
      </w:pPr>
      <w:r>
        <w:rPr>
          <w:rFonts w:ascii="Times New Roman" w:hAnsi="Times New Roman" w:eastAsia="宋体" w:cs="Times New Roman"/>
          <w:kern w:val="0"/>
          <w:szCs w:val="21"/>
        </w:rPr>
        <w:t>本合同未尽事宜需要补充的，双方可约定并记载于上述第十一条（其他约定事项）中，也可以另行达成书面协议作为本合同附件；本合同附件为本合同不可分割的组成部分，与本合同正文具有同等的法律效力。</w:t>
      </w:r>
    </w:p>
    <w:p w14:paraId="16058C37">
      <w:pPr>
        <w:numPr>
          <w:ilvl w:val="1"/>
          <w:numId w:val="20"/>
        </w:numPr>
        <w:spacing w:line="370" w:lineRule="exact"/>
        <w:ind w:left="422" w:hanging="422" w:hangingChars="200"/>
        <w:rPr>
          <w:b/>
          <w:kern w:val="0"/>
          <w:szCs w:val="21"/>
        </w:rPr>
      </w:pPr>
      <w:r>
        <w:rPr>
          <w:b/>
          <w:kern w:val="0"/>
          <w:szCs w:val="21"/>
        </w:rPr>
        <w:t>乙方同意并授权平安银行在乙方信贷业务申请阶段及业务存续期间，向金融信用信息基础数据库查询乙方基本信息和信用信息，用于乙方信贷业务申请与后续管理。乙方同意并授权平安银行依据《征信业管理条例》的规定，将乙方基本信息和信用信息，包括但不限于信贷信息及对信息主体信用状况构成负面影响的信息，报送金融信用信息基础数据库。</w:t>
      </w:r>
    </w:p>
    <w:p w14:paraId="4EAC3453">
      <w:pPr>
        <w:numPr>
          <w:ilvl w:val="1"/>
          <w:numId w:val="20"/>
        </w:numPr>
        <w:spacing w:line="370" w:lineRule="exact"/>
        <w:ind w:left="422" w:hanging="422" w:hangingChars="200"/>
        <w:rPr>
          <w:b/>
          <w:kern w:val="0"/>
          <w:szCs w:val="21"/>
        </w:rPr>
      </w:pPr>
      <w:r>
        <w:rPr>
          <w:b/>
          <w:bCs/>
          <w:kern w:val="0"/>
          <w:szCs w:val="21"/>
        </w:rPr>
        <w:t>乙方在此明确同意在本合同履行过程中甲方可以将本合同项下的权利和义务全部或部分转让给平安银行分支机构或关联机构或其他第三方，而无需重复征求乙方意见；为转让目的，</w:t>
      </w:r>
      <w:r>
        <w:rPr>
          <w:b/>
          <w:kern w:val="0"/>
          <w:szCs w:val="21"/>
        </w:rPr>
        <w:t>甲方可就本合同向潜在受让方合理披露本合同项下有关乙方的</w:t>
      </w:r>
      <w:r>
        <w:rPr>
          <w:b/>
          <w:bCs/>
          <w:kern w:val="0"/>
          <w:szCs w:val="21"/>
        </w:rPr>
        <w:t>资料</w:t>
      </w:r>
      <w:r>
        <w:rPr>
          <w:b/>
          <w:kern w:val="0"/>
          <w:szCs w:val="21"/>
        </w:rPr>
        <w:t>；未经甲方同意，乙方不得转让其在本合同项下任何权利及/或义务。</w:t>
      </w:r>
    </w:p>
    <w:p w14:paraId="30ED3700">
      <w:pPr>
        <w:numPr>
          <w:ilvl w:val="1"/>
          <w:numId w:val="20"/>
        </w:numPr>
        <w:spacing w:line="370" w:lineRule="exact"/>
        <w:ind w:left="422" w:hanging="422" w:hangingChars="200"/>
        <w:rPr>
          <w:kern w:val="0"/>
          <w:szCs w:val="21"/>
        </w:rPr>
      </w:pPr>
      <w:bookmarkStart w:id="6" w:name="_Hlk529474580"/>
      <w:r>
        <w:rPr>
          <w:b/>
          <w:kern w:val="0"/>
          <w:szCs w:val="21"/>
        </w:rPr>
        <w:t>本合同任何内容不论因何种原因而在法律上成为无效或部分无效，不影响其他条款或内容的有效性；若发生前述情形，甲方有权终止本合同，并向乙方追索本合同项下所有欠付款项的本息及其它有关款项；乙方应当配合立即向甲方返还全部欠款本金、以及相当于按照本合同约定应计的利息及其他费用的款项。</w:t>
      </w:r>
    </w:p>
    <w:bookmarkEnd w:id="6"/>
    <w:p w14:paraId="743695CE">
      <w:pPr>
        <w:numPr>
          <w:ilvl w:val="1"/>
          <w:numId w:val="20"/>
        </w:numPr>
        <w:spacing w:line="370" w:lineRule="exact"/>
        <w:ind w:left="422" w:hanging="422" w:hangingChars="200"/>
        <w:rPr>
          <w:b/>
          <w:kern w:val="0"/>
          <w:szCs w:val="21"/>
        </w:rPr>
      </w:pPr>
      <w:r>
        <w:rPr>
          <w:b/>
          <w:bCs/>
          <w:kern w:val="0"/>
          <w:szCs w:val="21"/>
        </w:rPr>
        <w:t>本合同适用中华人民共和国大陆地区法律并按其解释；</w:t>
      </w:r>
      <w:r>
        <w:rPr>
          <w:b/>
          <w:kern w:val="0"/>
          <w:szCs w:val="21"/>
        </w:rPr>
        <w:t>双方在履行本合同过程中所发生的争议，由双方协商解决；协商不成的，按下列第</w:t>
      </w:r>
      <w:r>
        <w:rPr>
          <w:rFonts w:hint="eastAsia"/>
          <w:b/>
          <w:bCs w:val="0"/>
          <w:kern w:val="0"/>
          <w:szCs w:val="21"/>
          <w:u w:val="single"/>
          <w:lang w:eastAsia="zh-CN"/>
        </w:rPr>
        <w:t>（</w:t>
      </w:r>
      <w:r>
        <w:rPr>
          <w:rFonts w:hint="eastAsia"/>
          <w:b/>
          <w:bCs w:val="0"/>
          <w:kern w:val="0"/>
          <w:szCs w:val="21"/>
          <w:u w:val="single"/>
          <w:lang w:val="en-US" w:eastAsia="zh-CN"/>
        </w:rPr>
        <w:t>2</w:t>
      </w:r>
      <w:r>
        <w:rPr>
          <w:rFonts w:hint="eastAsia"/>
          <w:b/>
          <w:bCs w:val="0"/>
          <w:kern w:val="0"/>
          <w:szCs w:val="21"/>
          <w:u w:val="single"/>
          <w:lang w:eastAsia="zh-CN"/>
        </w:rPr>
        <w:t>）</w:t>
      </w:r>
      <w:r>
        <w:rPr>
          <w:b/>
          <w:kern w:val="0"/>
          <w:szCs w:val="21"/>
        </w:rPr>
        <w:t>项方式解决：</w:t>
      </w:r>
    </w:p>
    <w:p w14:paraId="2B2137F4">
      <w:pPr>
        <w:pStyle w:val="23"/>
        <w:numPr>
          <w:ilvl w:val="0"/>
          <w:numId w:val="23"/>
        </w:numPr>
        <w:spacing w:line="370" w:lineRule="exact"/>
        <w:ind w:left="1052" w:leftChars="200" w:hanging="632" w:hangingChars="300"/>
        <w:rPr>
          <w:rFonts w:ascii="Times New Roman" w:hAnsi="Times New Roman" w:eastAsia="宋体" w:cs="Times New Roman"/>
          <w:b/>
          <w:kern w:val="0"/>
          <w:szCs w:val="21"/>
        </w:rPr>
      </w:pPr>
      <w:r>
        <w:rPr>
          <w:rFonts w:ascii="Times New Roman" w:hAnsi="Times New Roman" w:eastAsia="宋体" w:cs="Times New Roman"/>
          <w:b/>
          <w:kern w:val="0"/>
          <w:szCs w:val="21"/>
        </w:rPr>
        <w:t>向</w:t>
      </w:r>
      <w:r>
        <w:rPr>
          <w:rFonts w:ascii="Times New Roman" w:hAnsi="Times New Roman" w:eastAsia="宋体" w:cs="Times New Roman"/>
          <w:kern w:val="0"/>
        </w:rPr>
        <w:t>________</w:t>
      </w:r>
      <w:r>
        <w:rPr>
          <w:rFonts w:hint="eastAsia" w:ascii="Times New Roman" w:hAnsi="Times New Roman" w:eastAsia="宋体" w:cs="Times New Roman"/>
          <w:kern w:val="0"/>
          <w:lang w:val="en-US" w:eastAsia="zh-CN"/>
        </w:rPr>
        <w:t>/</w:t>
      </w:r>
      <w:r>
        <w:rPr>
          <w:rFonts w:ascii="Times New Roman" w:hAnsi="Times New Roman" w:eastAsia="宋体" w:cs="Times New Roman"/>
          <w:kern w:val="0"/>
        </w:rPr>
        <w:t>____________________</w:t>
      </w:r>
      <w:r>
        <w:rPr>
          <w:rFonts w:ascii="Times New Roman" w:hAnsi="Times New Roman" w:eastAsia="宋体" w:cs="Times New Roman"/>
          <w:b/>
          <w:kern w:val="0"/>
          <w:szCs w:val="21"/>
        </w:rPr>
        <w:t>申请仲裁，按照申请仲裁时该仲裁机构实施的仲裁规则进行仲裁。仲裁裁决是终局的，对双方均有约束力。</w:t>
      </w:r>
    </w:p>
    <w:p w14:paraId="623D74A6">
      <w:pPr>
        <w:pStyle w:val="23"/>
        <w:numPr>
          <w:ilvl w:val="0"/>
          <w:numId w:val="23"/>
        </w:numPr>
        <w:spacing w:line="370" w:lineRule="exact"/>
        <w:ind w:left="1052" w:leftChars="200" w:hanging="632" w:hangingChars="300"/>
        <w:rPr>
          <w:rFonts w:ascii="Times New Roman" w:hAnsi="Times New Roman" w:eastAsia="宋体" w:cs="Times New Roman"/>
          <w:b/>
          <w:kern w:val="0"/>
          <w:szCs w:val="21"/>
        </w:rPr>
      </w:pPr>
      <w:r>
        <w:rPr>
          <w:rFonts w:ascii="Times New Roman" w:hAnsi="Times New Roman" w:eastAsia="宋体" w:cs="Times New Roman"/>
          <w:b/>
          <w:kern w:val="0"/>
          <w:szCs w:val="21"/>
        </w:rPr>
        <w:t>向甲方所在地人民法院提起诉讼。</w:t>
      </w:r>
    </w:p>
    <w:p w14:paraId="1BADF6EE">
      <w:pPr>
        <w:pStyle w:val="23"/>
        <w:numPr>
          <w:ilvl w:val="0"/>
          <w:numId w:val="23"/>
        </w:numPr>
        <w:spacing w:line="370" w:lineRule="exact"/>
        <w:ind w:left="1052" w:leftChars="200" w:hanging="632" w:hangingChars="300"/>
        <w:rPr>
          <w:rFonts w:ascii="Times New Roman" w:hAnsi="Times New Roman" w:eastAsia="宋体" w:cs="Times New Roman"/>
          <w:b/>
          <w:kern w:val="0"/>
          <w:szCs w:val="21"/>
        </w:rPr>
      </w:pPr>
      <w:r>
        <w:rPr>
          <w:rFonts w:ascii="Times New Roman" w:hAnsi="Times New Roman" w:eastAsia="宋体" w:cs="Times New Roman"/>
          <w:b/>
          <w:kern w:val="0"/>
          <w:szCs w:val="21"/>
        </w:rPr>
        <w:t>向</w:t>
      </w:r>
      <w:r>
        <w:rPr>
          <w:rFonts w:ascii="Times New Roman" w:hAnsi="Times New Roman" w:eastAsia="宋体" w:cs="Times New Roman"/>
          <w:kern w:val="0"/>
        </w:rPr>
        <w:t>______</w:t>
      </w:r>
      <w:r>
        <w:rPr>
          <w:rFonts w:hint="eastAsia" w:ascii="Times New Roman" w:hAnsi="Times New Roman" w:eastAsia="宋体" w:cs="Times New Roman"/>
          <w:kern w:val="0"/>
          <w:lang w:val="en-US" w:eastAsia="zh-CN"/>
        </w:rPr>
        <w:t>/</w:t>
      </w:r>
      <w:r>
        <w:rPr>
          <w:rFonts w:ascii="Times New Roman" w:hAnsi="Times New Roman" w:eastAsia="宋体" w:cs="Times New Roman"/>
          <w:kern w:val="0"/>
        </w:rPr>
        <w:t>_______________________</w:t>
      </w:r>
      <w:r>
        <w:rPr>
          <w:rFonts w:ascii="Times New Roman" w:hAnsi="Times New Roman" w:eastAsia="宋体" w:cs="Times New Roman"/>
          <w:b/>
          <w:kern w:val="0"/>
          <w:szCs w:val="21"/>
        </w:rPr>
        <w:t>人民法院提起诉讼。</w:t>
      </w:r>
    </w:p>
    <w:p w14:paraId="340C3EB8">
      <w:pPr>
        <w:numPr>
          <w:ilvl w:val="1"/>
          <w:numId w:val="20"/>
        </w:numPr>
        <w:spacing w:line="370" w:lineRule="exact"/>
        <w:ind w:left="420" w:leftChars="-50" w:hanging="525" w:hangingChars="250"/>
        <w:rPr>
          <w:kern w:val="0"/>
          <w:szCs w:val="21"/>
        </w:rPr>
      </w:pPr>
      <w:r>
        <w:rPr>
          <w:kern w:val="0"/>
          <w:szCs w:val="21"/>
        </w:rPr>
        <w:t>本合同经各方当事人签署（应由其有权签字人签字或加盖印章，并加盖公章）后生效。本合同各方通过线上系统签署及实施本合同时所作的确认（包括但不限于以点击的形式或是以其他数据电文形式的回复）具有本合同各方有效签署的同等法律效力。</w:t>
      </w:r>
    </w:p>
    <w:p w14:paraId="555C99AE">
      <w:pPr>
        <w:numPr>
          <w:ilvl w:val="1"/>
          <w:numId w:val="20"/>
        </w:numPr>
        <w:spacing w:line="370" w:lineRule="exact"/>
        <w:ind w:left="420" w:leftChars="-50" w:hanging="525" w:hangingChars="250"/>
        <w:rPr>
          <w:kern w:val="0"/>
          <w:szCs w:val="21"/>
        </w:rPr>
      </w:pPr>
      <w:r>
        <w:rPr>
          <w:kern w:val="0"/>
          <w:szCs w:val="21"/>
        </w:rPr>
        <w:t>本合同正本一式</w:t>
      </w:r>
      <w:r>
        <w:rPr>
          <w:rFonts w:hint="eastAsia"/>
          <w:bCs/>
          <w:kern w:val="0"/>
          <w:szCs w:val="21"/>
          <w:u w:val="single"/>
          <w:lang w:val="en-US" w:eastAsia="zh-CN"/>
        </w:rPr>
        <w:t>叁</w:t>
      </w:r>
      <w:r>
        <w:rPr>
          <w:kern w:val="0"/>
          <w:szCs w:val="21"/>
        </w:rPr>
        <w:t>份，甲方执</w:t>
      </w:r>
      <w:r>
        <w:rPr>
          <w:rFonts w:hint="eastAsia"/>
          <w:bCs/>
          <w:kern w:val="0"/>
          <w:szCs w:val="21"/>
          <w:u w:val="single"/>
          <w:lang w:eastAsia="zh-CN"/>
        </w:rPr>
        <w:t>贰</w:t>
      </w:r>
      <w:r>
        <w:rPr>
          <w:kern w:val="0"/>
          <w:szCs w:val="21"/>
        </w:rPr>
        <w:t>份，乙方执</w:t>
      </w:r>
      <w:r>
        <w:rPr>
          <w:rFonts w:hint="eastAsia"/>
          <w:bCs/>
          <w:kern w:val="0"/>
          <w:szCs w:val="21"/>
          <w:u w:val="single"/>
          <w:lang w:eastAsia="zh-CN"/>
        </w:rPr>
        <w:t>壹</w:t>
      </w:r>
      <w:r>
        <w:rPr>
          <w:kern w:val="0"/>
          <w:szCs w:val="21"/>
        </w:rPr>
        <w:t>份以及__________________</w:t>
      </w:r>
    </w:p>
    <w:p w14:paraId="69999155">
      <w:pPr>
        <w:spacing w:line="370" w:lineRule="exact"/>
        <w:ind w:left="420"/>
        <w:rPr>
          <w:kern w:val="0"/>
          <w:szCs w:val="21"/>
        </w:rPr>
      </w:pPr>
      <w:r>
        <w:rPr>
          <w:kern w:val="0"/>
          <w:szCs w:val="21"/>
        </w:rPr>
        <w:t>______________________________________________________，具有同等法律效力。</w:t>
      </w:r>
    </w:p>
    <w:p w14:paraId="10AF21D2">
      <w:pPr>
        <w:spacing w:line="370" w:lineRule="exact"/>
        <w:textAlignment w:val="center"/>
        <w:rPr>
          <w:snapToGrid w:val="0"/>
          <w:kern w:val="0"/>
          <w:szCs w:val="21"/>
        </w:rPr>
      </w:pPr>
    </w:p>
    <w:p w14:paraId="6AFBA3F1">
      <w:pPr>
        <w:spacing w:line="370" w:lineRule="exact"/>
        <w:textAlignment w:val="center"/>
        <w:rPr>
          <w:snapToGrid w:val="0"/>
          <w:kern w:val="0"/>
          <w:szCs w:val="21"/>
        </w:rPr>
      </w:pPr>
    </w:p>
    <w:p w14:paraId="56B6A0FE">
      <w:pPr>
        <w:rPr>
          <w:kern w:val="0"/>
          <w:sz w:val="24"/>
        </w:rPr>
      </w:pPr>
      <w:r>
        <w:rPr>
          <w:b/>
          <w:snapToGrid w:val="0"/>
          <w:kern w:val="0"/>
          <w:szCs w:val="21"/>
        </w:rPr>
        <w:t>致签约方的温馨提示：</w:t>
      </w:r>
      <w:r>
        <w:rPr>
          <w:rFonts w:eastAsia="华文楷体"/>
          <w:color w:val="000000"/>
          <w:szCs w:val="21"/>
          <w:u w:val="single"/>
        </w:rPr>
        <w:t>如乙方对本协议存在任何意见或建议，可通过客服电话（投诉热线95511-3-8、95511-2-8（信用卡））、官方网站（http://bank.pingan.com）“在线客服”、平安口袋银行APP“在线客服”、平安数字口袋APP“在线客服”、投诉电子邮箱callcenter@pingan.com.cn，或平安银行各营业网点进行咨询和反馈。平安银行受理问题后，将在时效内核实并提供解决方案。</w:t>
      </w:r>
    </w:p>
    <w:p w14:paraId="6CD0B95A">
      <w:pPr>
        <w:pBdr>
          <w:top w:val="single" w:color="auto" w:sz="6" w:space="11"/>
          <w:bottom w:val="single" w:color="auto" w:sz="6" w:space="1"/>
        </w:pBdr>
        <w:snapToGrid w:val="0"/>
        <w:spacing w:line="360" w:lineRule="exact"/>
        <w:jc w:val="left"/>
        <w:textAlignment w:val="center"/>
        <w:rPr>
          <w:b/>
          <w:snapToGrid w:val="0"/>
          <w:kern w:val="0"/>
          <w:szCs w:val="21"/>
        </w:rPr>
      </w:pPr>
    </w:p>
    <w:p w14:paraId="2E527786">
      <w:pPr>
        <w:snapToGrid w:val="0"/>
        <w:spacing w:line="360" w:lineRule="exact"/>
        <w:rPr>
          <w:kern w:val="0"/>
          <w:szCs w:val="21"/>
        </w:rPr>
      </w:pPr>
    </w:p>
    <w:p w14:paraId="2F5B45F7">
      <w:pPr>
        <w:snapToGrid w:val="0"/>
        <w:spacing w:line="360" w:lineRule="exact"/>
        <w:rPr>
          <w:kern w:val="0"/>
          <w:szCs w:val="21"/>
        </w:rPr>
      </w:pP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4520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0" w:hRule="atLeast"/>
        </w:trPr>
        <w:tc>
          <w:tcPr>
            <w:tcW w:w="5000" w:type="pct"/>
          </w:tcPr>
          <w:p w14:paraId="5B4942ED">
            <w:pPr>
              <w:adjustRightInd w:val="0"/>
              <w:snapToGrid w:val="0"/>
              <w:spacing w:line="360" w:lineRule="exact"/>
              <w:rPr>
                <w:b/>
                <w:kern w:val="0"/>
                <w:szCs w:val="40"/>
              </w:rPr>
            </w:pPr>
            <w:bookmarkStart w:id="7" w:name="_Hlk529195576"/>
            <w:bookmarkStart w:id="8" w:name="_Hlk529474597"/>
            <w:r>
              <w:rPr>
                <w:b/>
                <w:kern w:val="0"/>
                <w:szCs w:val="40"/>
              </w:rPr>
              <w:t>本合同当事方在此不可撤销地确认和声明其已各自对前述合同文件内容进行了充分阅读、理解并确认同意，且甲方已就前述合同文件中的重要及/或加粗提示条款向乙方提供了必要的解释和说明；据此，当事方在此签署如下：</w:t>
            </w:r>
          </w:p>
        </w:tc>
      </w:tr>
    </w:tbl>
    <w:p w14:paraId="63C660AF">
      <w:pPr>
        <w:adjustRightInd w:val="0"/>
        <w:snapToGrid w:val="0"/>
        <w:spacing w:line="360" w:lineRule="exact"/>
        <w:rPr>
          <w:kern w:val="0"/>
        </w:rPr>
      </w:pPr>
    </w:p>
    <w:p w14:paraId="72556713">
      <w:pPr>
        <w:adjustRightInd w:val="0"/>
        <w:snapToGrid w:val="0"/>
        <w:spacing w:line="360" w:lineRule="exact"/>
        <w:rPr>
          <w:kern w:val="0"/>
        </w:rPr>
      </w:pPr>
    </w:p>
    <w:p w14:paraId="53EBE41C">
      <w:pPr>
        <w:snapToGrid w:val="0"/>
        <w:spacing w:line="360" w:lineRule="exact"/>
        <w:rPr>
          <w:rFonts w:hint="eastAsia"/>
          <w:kern w:val="0"/>
          <w:u w:val="single"/>
          <w:lang w:val="en-US" w:eastAsia="zh-CN"/>
        </w:rPr>
      </w:pPr>
      <w:r>
        <w:rPr>
          <w:b/>
          <w:kern w:val="0"/>
        </w:rPr>
        <w:t>甲方（盖章）：平安银行股份有限公司</w:t>
      </w:r>
      <w:r>
        <w:rPr>
          <w:rFonts w:hint="eastAsia"/>
          <w:b/>
          <w:kern w:val="0"/>
          <w:u w:val="single"/>
          <w:lang w:val="en-US" w:eastAsia="zh-CN"/>
        </w:rPr>
        <w:t>{{所在分行}}</w:t>
      </w:r>
    </w:p>
    <w:p w14:paraId="3332EE2A">
      <w:pPr>
        <w:snapToGrid w:val="0"/>
        <w:spacing w:line="360" w:lineRule="exact"/>
        <w:rPr>
          <w:kern w:val="0"/>
        </w:rPr>
      </w:pPr>
      <w:r>
        <w:rPr>
          <w:kern w:val="0"/>
        </w:rPr>
        <w:t>法定代表人（负责人）或委托代理人（签署）：</w:t>
      </w:r>
    </w:p>
    <w:p w14:paraId="4E535E8C">
      <w:pPr>
        <w:snapToGrid w:val="0"/>
        <w:spacing w:line="360" w:lineRule="exact"/>
        <w:rPr>
          <w:kern w:val="0"/>
        </w:rPr>
      </w:pPr>
    </w:p>
    <w:p w14:paraId="252D7BAB">
      <w:pPr>
        <w:snapToGrid w:val="0"/>
        <w:spacing w:line="360" w:lineRule="exact"/>
        <w:rPr>
          <w:kern w:val="0"/>
        </w:rPr>
      </w:pPr>
    </w:p>
    <w:p w14:paraId="00AC9B8D">
      <w:pPr>
        <w:snapToGrid w:val="0"/>
        <w:spacing w:line="360" w:lineRule="exact"/>
        <w:rPr>
          <w:kern w:val="0"/>
        </w:rPr>
      </w:pPr>
      <w:r>
        <w:rPr>
          <w:kern w:val="0"/>
        </w:rPr>
        <w:t>_____________________________________________</w:t>
      </w:r>
    </w:p>
    <w:p w14:paraId="6DB976F7">
      <w:pPr>
        <w:snapToGrid w:val="0"/>
        <w:spacing w:line="360" w:lineRule="exact"/>
        <w:rPr>
          <w:kern w:val="0"/>
        </w:rPr>
      </w:pPr>
      <w:r>
        <w:rPr>
          <w:kern w:val="0"/>
        </w:rPr>
        <w:t xml:space="preserve">签署日：   </w:t>
      </w:r>
      <w:r>
        <w:rPr>
          <w:rFonts w:hint="eastAsia"/>
          <w:kern w:val="0"/>
          <w:lang w:val="en-US" w:eastAsia="zh-CN"/>
        </w:rPr>
        <w:t>{{额度启用日期}}</w:t>
      </w:r>
      <w:r>
        <w:rPr>
          <w:kern w:val="0"/>
          <w:u w:val="single"/>
          <w:lang w:val="en-US" w:eastAsia="zh-CN"/>
        </w:rPr>
        <w:t xml:space="preserve">    </w:t>
      </w:r>
      <w:r>
        <w:rPr>
          <w:kern w:val="0"/>
        </w:rPr>
        <w:t>日</w:t>
      </w:r>
      <w:bookmarkEnd w:id="7"/>
      <w:bookmarkEnd w:id="8"/>
    </w:p>
    <w:p w14:paraId="47D7F709">
      <w:pPr>
        <w:snapToGrid w:val="0"/>
        <w:spacing w:line="360" w:lineRule="exact"/>
        <w:rPr>
          <w:kern w:val="0"/>
          <w:szCs w:val="21"/>
        </w:rPr>
      </w:pPr>
    </w:p>
    <w:p w14:paraId="4C473BE3">
      <w:pPr>
        <w:snapToGrid w:val="0"/>
        <w:spacing w:line="360" w:lineRule="exact"/>
        <w:rPr>
          <w:kern w:val="0"/>
          <w:szCs w:val="21"/>
        </w:rPr>
      </w:pPr>
    </w:p>
    <w:p w14:paraId="0ADD9155">
      <w:pPr>
        <w:snapToGrid w:val="0"/>
        <w:spacing w:line="360" w:lineRule="exact"/>
        <w:rPr>
          <w:b/>
          <w:kern w:val="0"/>
          <w:szCs w:val="21"/>
        </w:rPr>
      </w:pPr>
      <w:r>
        <w:rPr>
          <w:b/>
          <w:kern w:val="0"/>
        </w:rPr>
        <w:t>乙方（盖章）：</w:t>
      </w:r>
      <w:r>
        <w:rPr>
          <w:rFonts w:hint="eastAsia"/>
          <w:b/>
          <w:kern w:val="0"/>
          <w:u w:val="single"/>
          <w:lang w:val="en-US" w:eastAsia="zh-CN"/>
        </w:rPr>
        <w:t>{{企业名称}}</w:t>
      </w:r>
    </w:p>
    <w:p w14:paraId="40F748DF">
      <w:pPr>
        <w:snapToGrid w:val="0"/>
        <w:spacing w:line="360" w:lineRule="exact"/>
        <w:rPr>
          <w:kern w:val="0"/>
        </w:rPr>
      </w:pPr>
      <w:r>
        <w:rPr>
          <w:kern w:val="0"/>
        </w:rPr>
        <w:t>法定代表人或委托代理人（签署）：</w:t>
      </w:r>
    </w:p>
    <w:p w14:paraId="1FA8E10D">
      <w:pPr>
        <w:snapToGrid w:val="0"/>
        <w:spacing w:line="360" w:lineRule="exact"/>
        <w:rPr>
          <w:kern w:val="0"/>
        </w:rPr>
      </w:pPr>
    </w:p>
    <w:p w14:paraId="36163A49">
      <w:pPr>
        <w:snapToGrid w:val="0"/>
        <w:spacing w:line="360" w:lineRule="exact"/>
        <w:rPr>
          <w:kern w:val="0"/>
        </w:rPr>
      </w:pPr>
    </w:p>
    <w:p w14:paraId="1B34BCB7">
      <w:pPr>
        <w:snapToGrid w:val="0"/>
        <w:spacing w:line="360" w:lineRule="exact"/>
        <w:rPr>
          <w:kern w:val="0"/>
        </w:rPr>
      </w:pPr>
      <w:r>
        <w:rPr>
          <w:kern w:val="0"/>
        </w:rPr>
        <w:t>___________________________________</w:t>
      </w:r>
    </w:p>
    <w:p w14:paraId="6F2A9D6E">
      <w:pPr>
        <w:adjustRightInd w:val="0"/>
        <w:snapToGrid w:val="0"/>
        <w:spacing w:line="360" w:lineRule="exact"/>
        <w:rPr>
          <w:kern w:val="0"/>
          <w:szCs w:val="21"/>
        </w:rPr>
      </w:pPr>
      <w:r>
        <w:rPr>
          <w:kern w:val="0"/>
        </w:rPr>
        <w:t xml:space="preserve">签署日：   </w:t>
      </w:r>
      <w:r>
        <w:rPr>
          <w:rFonts w:hint="eastAsia"/>
          <w:kern w:val="0"/>
          <w:lang w:val="en-US" w:eastAsia="zh-CN"/>
        </w:rPr>
        <w:t>{{额度启用日期}}</w:t>
      </w:r>
      <w:r>
        <w:rPr>
          <w:kern w:val="0"/>
          <w:u w:val="single"/>
          <w:lang w:val="en-US" w:eastAsia="zh-CN"/>
        </w:rPr>
        <w:t xml:space="preserve">    </w:t>
      </w:r>
      <w:r>
        <w:rPr>
          <w:kern w:val="0"/>
        </w:rPr>
        <w:t>日</w:t>
      </w:r>
    </w:p>
    <w:p w14:paraId="0DC923FE">
      <w:pPr>
        <w:widowControl/>
        <w:jc w:val="left"/>
        <w:rPr>
          <w:kern w:val="0"/>
          <w:szCs w:val="21"/>
        </w:rPr>
      </w:pPr>
      <w:r>
        <w:rPr>
          <w:kern w:val="0"/>
          <w:szCs w:val="21"/>
        </w:rPr>
        <w:br w:type="page"/>
      </w:r>
    </w:p>
    <w:p w14:paraId="5EC6FF5F">
      <w:pPr>
        <w:pStyle w:val="23"/>
        <w:spacing w:line="360" w:lineRule="exact"/>
        <w:ind w:firstLine="0" w:firstLineChars="0"/>
        <w:outlineLvl w:val="1"/>
        <w:rPr>
          <w:rFonts w:ascii="Times New Roman" w:hAnsi="Times New Roman" w:eastAsia="宋体" w:cs="Times New Roman"/>
          <w:b/>
          <w:bCs/>
          <w:kern w:val="0"/>
          <w:szCs w:val="21"/>
        </w:rPr>
      </w:pPr>
      <w:r>
        <w:rPr>
          <w:rFonts w:ascii="Times New Roman" w:hAnsi="Times New Roman" w:eastAsia="宋体" w:cs="Times New Roman"/>
          <w:b/>
          <w:bCs/>
          <w:kern w:val="0"/>
          <w:szCs w:val="21"/>
        </w:rPr>
        <w:t>附件：承兑申请（式样）</w:t>
      </w:r>
    </w:p>
    <w:tbl>
      <w:tblPr>
        <w:tblStyle w:val="10"/>
        <w:tblW w:w="8802" w:type="dxa"/>
        <w:tblInd w:w="93" w:type="dxa"/>
        <w:tblLayout w:type="autofit"/>
        <w:tblCellMar>
          <w:top w:w="0" w:type="dxa"/>
          <w:left w:w="108" w:type="dxa"/>
          <w:bottom w:w="0" w:type="dxa"/>
          <w:right w:w="108" w:type="dxa"/>
        </w:tblCellMar>
      </w:tblPr>
      <w:tblGrid>
        <w:gridCol w:w="2850"/>
        <w:gridCol w:w="1843"/>
        <w:gridCol w:w="2268"/>
        <w:gridCol w:w="1835"/>
        <w:gridCol w:w="6"/>
      </w:tblGrid>
      <w:tr w14:paraId="7DD2AE5A">
        <w:tblPrEx>
          <w:tblCellMar>
            <w:top w:w="0" w:type="dxa"/>
            <w:left w:w="108" w:type="dxa"/>
            <w:bottom w:w="0" w:type="dxa"/>
            <w:right w:w="108" w:type="dxa"/>
          </w:tblCellMar>
        </w:tblPrEx>
        <w:trPr>
          <w:trHeight w:val="319" w:hRule="atLeast"/>
        </w:trPr>
        <w:tc>
          <w:tcPr>
            <w:tcW w:w="8802" w:type="dxa"/>
            <w:gridSpan w:val="5"/>
            <w:tcBorders>
              <w:top w:val="nil"/>
              <w:left w:val="nil"/>
              <w:bottom w:val="single" w:color="auto" w:sz="4" w:space="0"/>
              <w:right w:val="nil"/>
            </w:tcBorders>
            <w:shd w:val="clear" w:color="auto" w:fill="auto"/>
            <w:noWrap/>
            <w:vAlign w:val="center"/>
          </w:tcPr>
          <w:p w14:paraId="0821BDA0">
            <w:pPr>
              <w:spacing w:before="93" w:beforeLines="30" w:after="93" w:afterLines="30" w:line="300" w:lineRule="exact"/>
              <w:jc w:val="center"/>
              <w:rPr>
                <w:b/>
                <w:bCs/>
                <w:kern w:val="0"/>
                <w:sz w:val="24"/>
              </w:rPr>
            </w:pPr>
            <w:r>
              <w:rPr>
                <w:b/>
                <w:bCs/>
                <w:kern w:val="0"/>
                <w:sz w:val="24"/>
              </w:rPr>
              <w:t>承兑申请书</w:t>
            </w:r>
          </w:p>
          <w:p w14:paraId="3BC8D58B">
            <w:pPr>
              <w:spacing w:before="93" w:beforeLines="30" w:after="93" w:afterLines="30" w:line="300" w:lineRule="exact"/>
              <w:jc w:val="center"/>
              <w:rPr>
                <w:b/>
                <w:bCs/>
                <w:kern w:val="0"/>
              </w:rPr>
            </w:pPr>
            <w:r>
              <w:rPr>
                <w:bCs/>
                <w:kern w:val="0"/>
                <w:szCs w:val="21"/>
              </w:rPr>
              <w:t>（</w:t>
            </w:r>
            <w:r>
              <w:rPr>
                <w:bCs/>
                <w:spacing w:val="4"/>
                <w:kern w:val="0"/>
                <w:szCs w:val="21"/>
              </w:rPr>
              <w:t>乙方通过甲方平台提交的版本，</w:t>
            </w:r>
            <w:r>
              <w:rPr>
                <w:bCs/>
                <w:kern w:val="0"/>
                <w:szCs w:val="21"/>
              </w:rPr>
              <w:t>以甲方平台实际显示和记载的为准）</w:t>
            </w:r>
          </w:p>
        </w:tc>
      </w:tr>
      <w:tr w14:paraId="70CEA543">
        <w:tblPrEx>
          <w:tblCellMar>
            <w:top w:w="0" w:type="dxa"/>
            <w:left w:w="108" w:type="dxa"/>
            <w:bottom w:w="0" w:type="dxa"/>
            <w:right w:w="108" w:type="dxa"/>
          </w:tblCellMar>
        </w:tblPrEx>
        <w:trPr>
          <w:gridAfter w:val="1"/>
          <w:wAfter w:w="6" w:type="dxa"/>
          <w:trHeight w:val="319" w:hRule="atLeast"/>
        </w:trPr>
        <w:tc>
          <w:tcPr>
            <w:tcW w:w="2850" w:type="dxa"/>
            <w:tcBorders>
              <w:top w:val="nil"/>
              <w:left w:val="single" w:color="auto" w:sz="4" w:space="0"/>
              <w:bottom w:val="single" w:color="auto" w:sz="4" w:space="0"/>
              <w:right w:val="single" w:color="auto" w:sz="4" w:space="0"/>
            </w:tcBorders>
            <w:shd w:val="clear" w:color="auto" w:fill="auto"/>
            <w:vAlign w:val="center"/>
          </w:tcPr>
          <w:p w14:paraId="38862FD6">
            <w:pPr>
              <w:widowControl/>
              <w:spacing w:before="93" w:beforeLines="30" w:after="93" w:afterLines="30" w:line="300" w:lineRule="exact"/>
              <w:jc w:val="left"/>
              <w:rPr>
                <w:color w:val="000000"/>
                <w:kern w:val="0"/>
                <w:szCs w:val="21"/>
              </w:rPr>
            </w:pPr>
            <w:r>
              <w:rPr>
                <w:color w:val="000000"/>
                <w:kern w:val="0"/>
                <w:szCs w:val="21"/>
              </w:rPr>
              <w:t>《综合授信额度合同》编号：</w:t>
            </w:r>
          </w:p>
        </w:tc>
        <w:tc>
          <w:tcPr>
            <w:tcW w:w="1843" w:type="dxa"/>
            <w:tcBorders>
              <w:top w:val="single" w:color="auto" w:sz="4" w:space="0"/>
              <w:left w:val="nil"/>
              <w:bottom w:val="single" w:color="auto" w:sz="4" w:space="0"/>
              <w:right w:val="single" w:color="000000" w:sz="4" w:space="0"/>
            </w:tcBorders>
            <w:shd w:val="clear" w:color="auto" w:fill="auto"/>
            <w:noWrap/>
            <w:vAlign w:val="center"/>
          </w:tcPr>
          <w:p w14:paraId="07CED86E">
            <w:pPr>
              <w:widowControl/>
              <w:spacing w:before="93" w:beforeLines="30" w:after="93" w:afterLines="30" w:line="300" w:lineRule="exact"/>
              <w:jc w:val="center"/>
              <w:rPr>
                <w:color w:val="000000"/>
                <w:kern w:val="0"/>
                <w:szCs w:val="21"/>
              </w:rPr>
            </w:pPr>
          </w:p>
        </w:tc>
        <w:tc>
          <w:tcPr>
            <w:tcW w:w="2268" w:type="dxa"/>
            <w:tcBorders>
              <w:top w:val="nil"/>
              <w:left w:val="nil"/>
              <w:bottom w:val="single" w:color="auto" w:sz="4" w:space="0"/>
              <w:right w:val="nil"/>
            </w:tcBorders>
            <w:shd w:val="clear" w:color="auto" w:fill="auto"/>
            <w:noWrap/>
            <w:vAlign w:val="center"/>
          </w:tcPr>
          <w:p w14:paraId="37831530">
            <w:pPr>
              <w:widowControl/>
              <w:spacing w:before="93" w:beforeLines="30" w:after="93" w:afterLines="30" w:line="300" w:lineRule="exact"/>
              <w:jc w:val="left"/>
              <w:rPr>
                <w:color w:val="000000"/>
                <w:kern w:val="0"/>
                <w:szCs w:val="21"/>
              </w:rPr>
            </w:pPr>
            <w:r>
              <w:rPr>
                <w:color w:val="000000"/>
                <w:kern w:val="0"/>
                <w:szCs w:val="21"/>
              </w:rPr>
              <w:t>客户名称：</w:t>
            </w:r>
          </w:p>
        </w:tc>
        <w:tc>
          <w:tcPr>
            <w:tcW w:w="1835" w:type="dxa"/>
            <w:tcBorders>
              <w:top w:val="single" w:color="auto" w:sz="4" w:space="0"/>
              <w:left w:val="single" w:color="auto" w:sz="4" w:space="0"/>
              <w:bottom w:val="single" w:color="auto" w:sz="4" w:space="0"/>
              <w:right w:val="single" w:color="000000" w:sz="4" w:space="0"/>
            </w:tcBorders>
            <w:shd w:val="clear" w:color="auto" w:fill="auto"/>
            <w:noWrap/>
            <w:vAlign w:val="center"/>
          </w:tcPr>
          <w:p w14:paraId="766A3711">
            <w:pPr>
              <w:widowControl/>
              <w:spacing w:before="93" w:beforeLines="30" w:after="93" w:afterLines="30" w:line="300" w:lineRule="exact"/>
              <w:jc w:val="center"/>
              <w:rPr>
                <w:color w:val="000000"/>
                <w:kern w:val="0"/>
                <w:szCs w:val="21"/>
              </w:rPr>
            </w:pPr>
          </w:p>
        </w:tc>
      </w:tr>
      <w:tr w14:paraId="63D3EDE2">
        <w:tblPrEx>
          <w:tblCellMar>
            <w:top w:w="0" w:type="dxa"/>
            <w:left w:w="108" w:type="dxa"/>
            <w:bottom w:w="0" w:type="dxa"/>
            <w:right w:w="108" w:type="dxa"/>
          </w:tblCellMar>
        </w:tblPrEx>
        <w:trPr>
          <w:gridAfter w:val="1"/>
          <w:wAfter w:w="6" w:type="dxa"/>
          <w:trHeight w:val="319" w:hRule="atLeast"/>
        </w:trPr>
        <w:tc>
          <w:tcPr>
            <w:tcW w:w="2850" w:type="dxa"/>
            <w:tcBorders>
              <w:top w:val="single" w:color="auto" w:sz="4" w:space="0"/>
              <w:left w:val="single" w:color="auto" w:sz="4" w:space="0"/>
              <w:bottom w:val="single" w:color="auto" w:sz="4" w:space="0"/>
              <w:right w:val="single" w:color="auto" w:sz="4" w:space="0"/>
            </w:tcBorders>
            <w:vAlign w:val="center"/>
          </w:tcPr>
          <w:p w14:paraId="6ACC9CA1">
            <w:pPr>
              <w:widowControl/>
              <w:spacing w:before="93" w:beforeLines="30" w:after="93" w:afterLines="30" w:line="300" w:lineRule="exact"/>
              <w:jc w:val="left"/>
              <w:rPr>
                <w:color w:val="000000"/>
                <w:kern w:val="0"/>
                <w:szCs w:val="21"/>
              </w:rPr>
            </w:pPr>
            <w:r>
              <w:rPr>
                <w:color w:val="000000"/>
                <w:kern w:val="0"/>
                <w:szCs w:val="21"/>
              </w:rPr>
              <w:t>授信开始日期：</w:t>
            </w:r>
          </w:p>
        </w:tc>
        <w:tc>
          <w:tcPr>
            <w:tcW w:w="1843" w:type="dxa"/>
            <w:tcBorders>
              <w:top w:val="single" w:color="auto" w:sz="4" w:space="0"/>
              <w:left w:val="nil"/>
              <w:bottom w:val="single" w:color="auto" w:sz="4" w:space="0"/>
              <w:right w:val="single" w:color="000000" w:sz="4" w:space="0"/>
            </w:tcBorders>
            <w:shd w:val="clear" w:color="auto" w:fill="auto"/>
            <w:noWrap/>
            <w:vAlign w:val="center"/>
          </w:tcPr>
          <w:p w14:paraId="148C6552">
            <w:pPr>
              <w:widowControl/>
              <w:spacing w:before="93" w:beforeLines="30" w:after="93" w:afterLines="30" w:line="300" w:lineRule="exact"/>
              <w:jc w:val="center"/>
              <w:rPr>
                <w:color w:val="000000"/>
                <w:kern w:val="0"/>
                <w:szCs w:val="21"/>
              </w:rPr>
            </w:pPr>
          </w:p>
        </w:tc>
        <w:tc>
          <w:tcPr>
            <w:tcW w:w="2268" w:type="dxa"/>
            <w:tcBorders>
              <w:top w:val="nil"/>
              <w:left w:val="nil"/>
              <w:bottom w:val="single" w:color="auto" w:sz="4" w:space="0"/>
              <w:right w:val="nil"/>
            </w:tcBorders>
            <w:shd w:val="clear" w:color="auto" w:fill="auto"/>
            <w:noWrap/>
            <w:vAlign w:val="center"/>
          </w:tcPr>
          <w:p w14:paraId="39D84598">
            <w:pPr>
              <w:widowControl/>
              <w:spacing w:before="93" w:beforeLines="30" w:after="93" w:afterLines="30" w:line="300" w:lineRule="exact"/>
              <w:jc w:val="left"/>
              <w:rPr>
                <w:color w:val="000000"/>
                <w:kern w:val="0"/>
                <w:szCs w:val="21"/>
              </w:rPr>
            </w:pPr>
            <w:r>
              <w:rPr>
                <w:color w:val="000000"/>
                <w:kern w:val="0"/>
                <w:szCs w:val="21"/>
              </w:rPr>
              <w:t>授信结束日期：</w:t>
            </w:r>
          </w:p>
        </w:tc>
        <w:tc>
          <w:tcPr>
            <w:tcW w:w="1835" w:type="dxa"/>
            <w:tcBorders>
              <w:top w:val="single" w:color="auto" w:sz="4" w:space="0"/>
              <w:left w:val="single" w:color="auto" w:sz="4" w:space="0"/>
              <w:bottom w:val="single" w:color="auto" w:sz="4" w:space="0"/>
              <w:right w:val="single" w:color="000000" w:sz="4" w:space="0"/>
            </w:tcBorders>
            <w:shd w:val="clear" w:color="auto" w:fill="auto"/>
            <w:noWrap/>
            <w:vAlign w:val="center"/>
          </w:tcPr>
          <w:p w14:paraId="74ED09A1">
            <w:pPr>
              <w:widowControl/>
              <w:spacing w:before="93" w:beforeLines="30" w:after="93" w:afterLines="30" w:line="300" w:lineRule="exact"/>
              <w:jc w:val="center"/>
              <w:rPr>
                <w:color w:val="000000"/>
                <w:kern w:val="0"/>
                <w:szCs w:val="21"/>
              </w:rPr>
            </w:pPr>
          </w:p>
        </w:tc>
      </w:tr>
      <w:tr w14:paraId="2AF97F77">
        <w:tblPrEx>
          <w:tblCellMar>
            <w:top w:w="0" w:type="dxa"/>
            <w:left w:w="108" w:type="dxa"/>
            <w:bottom w:w="0" w:type="dxa"/>
            <w:right w:w="108" w:type="dxa"/>
          </w:tblCellMar>
        </w:tblPrEx>
        <w:trPr>
          <w:gridAfter w:val="1"/>
          <w:wAfter w:w="6" w:type="dxa"/>
          <w:trHeight w:val="319" w:hRule="atLeast"/>
        </w:trPr>
        <w:tc>
          <w:tcPr>
            <w:tcW w:w="2850" w:type="dxa"/>
            <w:tcBorders>
              <w:top w:val="single" w:color="auto" w:sz="4" w:space="0"/>
              <w:left w:val="single" w:color="auto" w:sz="4" w:space="0"/>
              <w:bottom w:val="single" w:color="auto" w:sz="4" w:space="0"/>
              <w:right w:val="single" w:color="auto" w:sz="4" w:space="0"/>
            </w:tcBorders>
            <w:vAlign w:val="center"/>
          </w:tcPr>
          <w:p w14:paraId="4CCDE72F">
            <w:pPr>
              <w:widowControl/>
              <w:spacing w:before="93" w:beforeLines="30" w:after="93" w:afterLines="30" w:line="300" w:lineRule="exact"/>
              <w:jc w:val="left"/>
              <w:rPr>
                <w:color w:val="000000"/>
                <w:kern w:val="0"/>
                <w:szCs w:val="21"/>
              </w:rPr>
            </w:pPr>
            <w:r>
              <w:rPr>
                <w:color w:val="000000"/>
                <w:kern w:val="0"/>
                <w:szCs w:val="21"/>
              </w:rPr>
              <w:t>授信金额：</w:t>
            </w:r>
          </w:p>
        </w:tc>
        <w:tc>
          <w:tcPr>
            <w:tcW w:w="1843" w:type="dxa"/>
            <w:tcBorders>
              <w:top w:val="single" w:color="auto" w:sz="4" w:space="0"/>
              <w:left w:val="nil"/>
              <w:bottom w:val="single" w:color="auto" w:sz="4" w:space="0"/>
              <w:right w:val="single" w:color="000000" w:sz="4" w:space="0"/>
            </w:tcBorders>
            <w:shd w:val="clear" w:color="auto" w:fill="auto"/>
            <w:noWrap/>
            <w:vAlign w:val="center"/>
          </w:tcPr>
          <w:p w14:paraId="612F6A7A">
            <w:pPr>
              <w:widowControl/>
              <w:spacing w:before="93" w:beforeLines="30" w:after="93" w:afterLines="30" w:line="300" w:lineRule="exact"/>
              <w:jc w:val="center"/>
              <w:rPr>
                <w:color w:val="000000"/>
                <w:kern w:val="0"/>
                <w:szCs w:val="21"/>
              </w:rPr>
            </w:pPr>
          </w:p>
        </w:tc>
        <w:tc>
          <w:tcPr>
            <w:tcW w:w="2268" w:type="dxa"/>
            <w:tcBorders>
              <w:top w:val="nil"/>
              <w:left w:val="nil"/>
              <w:bottom w:val="single" w:color="auto" w:sz="4" w:space="0"/>
              <w:right w:val="nil"/>
            </w:tcBorders>
            <w:shd w:val="clear" w:color="auto" w:fill="auto"/>
            <w:noWrap/>
            <w:vAlign w:val="center"/>
          </w:tcPr>
          <w:p w14:paraId="6E9B45E2">
            <w:pPr>
              <w:widowControl/>
              <w:spacing w:before="93" w:beforeLines="30" w:after="93" w:afterLines="30" w:line="300" w:lineRule="exact"/>
              <w:jc w:val="left"/>
              <w:rPr>
                <w:color w:val="000000"/>
                <w:kern w:val="0"/>
                <w:szCs w:val="21"/>
              </w:rPr>
            </w:pPr>
            <w:r>
              <w:rPr>
                <w:color w:val="000000"/>
                <w:kern w:val="0"/>
                <w:szCs w:val="21"/>
              </w:rPr>
              <w:t>可用金额：</w:t>
            </w:r>
          </w:p>
        </w:tc>
        <w:tc>
          <w:tcPr>
            <w:tcW w:w="1835" w:type="dxa"/>
            <w:tcBorders>
              <w:top w:val="single" w:color="auto" w:sz="4" w:space="0"/>
              <w:left w:val="single" w:color="auto" w:sz="4" w:space="0"/>
              <w:bottom w:val="single" w:color="auto" w:sz="4" w:space="0"/>
              <w:right w:val="single" w:color="000000" w:sz="4" w:space="0"/>
            </w:tcBorders>
            <w:shd w:val="clear" w:color="auto" w:fill="auto"/>
            <w:noWrap/>
            <w:vAlign w:val="center"/>
          </w:tcPr>
          <w:p w14:paraId="52DBFA63">
            <w:pPr>
              <w:widowControl/>
              <w:spacing w:before="93" w:beforeLines="30" w:after="93" w:afterLines="30" w:line="300" w:lineRule="exact"/>
              <w:jc w:val="center"/>
              <w:rPr>
                <w:color w:val="000000"/>
                <w:kern w:val="0"/>
                <w:szCs w:val="21"/>
              </w:rPr>
            </w:pPr>
          </w:p>
        </w:tc>
      </w:tr>
      <w:tr w14:paraId="765A202F">
        <w:tblPrEx>
          <w:tblCellMar>
            <w:top w:w="0" w:type="dxa"/>
            <w:left w:w="108" w:type="dxa"/>
            <w:bottom w:w="0" w:type="dxa"/>
            <w:right w:w="108" w:type="dxa"/>
          </w:tblCellMar>
        </w:tblPrEx>
        <w:trPr>
          <w:gridAfter w:val="1"/>
          <w:wAfter w:w="6" w:type="dxa"/>
          <w:trHeight w:val="319" w:hRule="atLeast"/>
        </w:trPr>
        <w:tc>
          <w:tcPr>
            <w:tcW w:w="2850" w:type="dxa"/>
            <w:tcBorders>
              <w:top w:val="single" w:color="auto" w:sz="4" w:space="0"/>
              <w:left w:val="single" w:color="auto" w:sz="4" w:space="0"/>
              <w:bottom w:val="single" w:color="auto" w:sz="4" w:space="0"/>
              <w:right w:val="single" w:color="auto" w:sz="4" w:space="0"/>
            </w:tcBorders>
            <w:vAlign w:val="center"/>
          </w:tcPr>
          <w:p w14:paraId="435D0368">
            <w:pPr>
              <w:widowControl/>
              <w:spacing w:before="93" w:beforeLines="30" w:after="93" w:afterLines="30" w:line="300" w:lineRule="exact"/>
              <w:jc w:val="left"/>
              <w:rPr>
                <w:color w:val="000000"/>
                <w:kern w:val="0"/>
                <w:szCs w:val="21"/>
              </w:rPr>
            </w:pPr>
            <w:r>
              <w:rPr>
                <w:color w:val="000000"/>
                <w:kern w:val="0"/>
                <w:szCs w:val="21"/>
              </w:rPr>
              <w:t>授信敞口金额：</w:t>
            </w:r>
          </w:p>
        </w:tc>
        <w:tc>
          <w:tcPr>
            <w:tcW w:w="1843" w:type="dxa"/>
            <w:tcBorders>
              <w:top w:val="single" w:color="auto" w:sz="4" w:space="0"/>
              <w:left w:val="nil"/>
              <w:bottom w:val="single" w:color="auto" w:sz="4" w:space="0"/>
              <w:right w:val="single" w:color="000000" w:sz="4" w:space="0"/>
            </w:tcBorders>
            <w:shd w:val="clear" w:color="auto" w:fill="auto"/>
            <w:noWrap/>
            <w:vAlign w:val="center"/>
          </w:tcPr>
          <w:p w14:paraId="5B3A9531">
            <w:pPr>
              <w:widowControl/>
              <w:spacing w:before="93" w:beforeLines="30" w:after="93" w:afterLines="30" w:line="300" w:lineRule="exact"/>
              <w:jc w:val="center"/>
              <w:rPr>
                <w:color w:val="000000"/>
                <w:kern w:val="0"/>
                <w:szCs w:val="21"/>
              </w:rPr>
            </w:pPr>
          </w:p>
        </w:tc>
        <w:tc>
          <w:tcPr>
            <w:tcW w:w="2268" w:type="dxa"/>
            <w:tcBorders>
              <w:top w:val="nil"/>
              <w:left w:val="nil"/>
              <w:bottom w:val="single" w:color="auto" w:sz="4" w:space="0"/>
              <w:right w:val="nil"/>
            </w:tcBorders>
            <w:shd w:val="clear" w:color="auto" w:fill="auto"/>
            <w:noWrap/>
            <w:vAlign w:val="center"/>
          </w:tcPr>
          <w:p w14:paraId="16500460">
            <w:pPr>
              <w:widowControl/>
              <w:spacing w:before="93" w:beforeLines="30" w:after="93" w:afterLines="30" w:line="300" w:lineRule="exact"/>
              <w:jc w:val="left"/>
              <w:rPr>
                <w:color w:val="000000"/>
                <w:kern w:val="0"/>
                <w:szCs w:val="21"/>
              </w:rPr>
            </w:pPr>
            <w:r>
              <w:rPr>
                <w:color w:val="000000"/>
                <w:kern w:val="0"/>
                <w:szCs w:val="21"/>
              </w:rPr>
              <w:t>可用敞口金额：</w:t>
            </w:r>
          </w:p>
        </w:tc>
        <w:tc>
          <w:tcPr>
            <w:tcW w:w="1835" w:type="dxa"/>
            <w:tcBorders>
              <w:top w:val="single" w:color="auto" w:sz="4" w:space="0"/>
              <w:left w:val="single" w:color="auto" w:sz="4" w:space="0"/>
              <w:bottom w:val="single" w:color="auto" w:sz="4" w:space="0"/>
              <w:right w:val="single" w:color="000000" w:sz="4" w:space="0"/>
            </w:tcBorders>
            <w:shd w:val="clear" w:color="auto" w:fill="auto"/>
            <w:noWrap/>
            <w:vAlign w:val="center"/>
          </w:tcPr>
          <w:p w14:paraId="02D0BADD">
            <w:pPr>
              <w:widowControl/>
              <w:spacing w:before="93" w:beforeLines="30" w:after="93" w:afterLines="30" w:line="300" w:lineRule="exact"/>
              <w:jc w:val="center"/>
              <w:rPr>
                <w:color w:val="000000"/>
                <w:kern w:val="0"/>
                <w:szCs w:val="21"/>
              </w:rPr>
            </w:pPr>
          </w:p>
        </w:tc>
      </w:tr>
      <w:tr w14:paraId="730E62E1">
        <w:tblPrEx>
          <w:tblCellMar>
            <w:top w:w="0" w:type="dxa"/>
            <w:left w:w="108" w:type="dxa"/>
            <w:bottom w:w="0" w:type="dxa"/>
            <w:right w:w="108" w:type="dxa"/>
          </w:tblCellMar>
        </w:tblPrEx>
        <w:trPr>
          <w:gridAfter w:val="1"/>
          <w:wAfter w:w="6" w:type="dxa"/>
          <w:trHeight w:val="319" w:hRule="atLeast"/>
        </w:trPr>
        <w:tc>
          <w:tcPr>
            <w:tcW w:w="2850" w:type="dxa"/>
            <w:tcBorders>
              <w:top w:val="single" w:color="auto" w:sz="4" w:space="0"/>
              <w:left w:val="single" w:color="auto" w:sz="4" w:space="0"/>
              <w:bottom w:val="single" w:color="auto" w:sz="4" w:space="0"/>
              <w:right w:val="single" w:color="auto" w:sz="4" w:space="0"/>
            </w:tcBorders>
            <w:vAlign w:val="center"/>
          </w:tcPr>
          <w:p w14:paraId="2203B652">
            <w:pPr>
              <w:widowControl/>
              <w:spacing w:before="93" w:beforeLines="30" w:after="93" w:afterLines="30" w:line="300" w:lineRule="exact"/>
              <w:jc w:val="left"/>
              <w:rPr>
                <w:color w:val="000000"/>
                <w:kern w:val="0"/>
                <w:szCs w:val="21"/>
              </w:rPr>
            </w:pPr>
            <w:r>
              <w:rPr>
                <w:color w:val="000000"/>
                <w:kern w:val="0"/>
                <w:szCs w:val="21"/>
              </w:rPr>
              <w:t>出账币种：</w:t>
            </w:r>
          </w:p>
        </w:tc>
        <w:tc>
          <w:tcPr>
            <w:tcW w:w="1843" w:type="dxa"/>
            <w:tcBorders>
              <w:top w:val="single" w:color="auto" w:sz="4" w:space="0"/>
              <w:left w:val="nil"/>
              <w:bottom w:val="single" w:color="auto" w:sz="4" w:space="0"/>
              <w:right w:val="single" w:color="000000" w:sz="4" w:space="0"/>
            </w:tcBorders>
            <w:shd w:val="clear" w:color="auto" w:fill="auto"/>
            <w:noWrap/>
            <w:vAlign w:val="center"/>
          </w:tcPr>
          <w:p w14:paraId="7E31CC83">
            <w:pPr>
              <w:widowControl/>
              <w:spacing w:before="93" w:beforeLines="30" w:after="93" w:afterLines="30" w:line="300" w:lineRule="exact"/>
              <w:jc w:val="center"/>
              <w:rPr>
                <w:color w:val="000000"/>
                <w:kern w:val="0"/>
                <w:szCs w:val="21"/>
              </w:rPr>
            </w:pPr>
          </w:p>
        </w:tc>
        <w:tc>
          <w:tcPr>
            <w:tcW w:w="2268" w:type="dxa"/>
            <w:tcBorders>
              <w:top w:val="nil"/>
              <w:left w:val="nil"/>
              <w:bottom w:val="single" w:color="auto" w:sz="4" w:space="0"/>
              <w:right w:val="nil"/>
            </w:tcBorders>
            <w:shd w:val="clear" w:color="auto" w:fill="auto"/>
            <w:noWrap/>
            <w:vAlign w:val="center"/>
          </w:tcPr>
          <w:p w14:paraId="7BA76B85">
            <w:pPr>
              <w:widowControl/>
              <w:spacing w:before="93" w:beforeLines="30" w:after="93" w:afterLines="30" w:line="300" w:lineRule="exact"/>
              <w:jc w:val="left"/>
              <w:rPr>
                <w:color w:val="000000"/>
                <w:kern w:val="0"/>
                <w:szCs w:val="21"/>
              </w:rPr>
            </w:pPr>
            <w:r>
              <w:rPr>
                <w:color w:val="000000"/>
                <w:kern w:val="0"/>
                <w:szCs w:val="21"/>
              </w:rPr>
              <w:t>汇票金额：</w:t>
            </w:r>
          </w:p>
        </w:tc>
        <w:tc>
          <w:tcPr>
            <w:tcW w:w="1835" w:type="dxa"/>
            <w:tcBorders>
              <w:top w:val="single" w:color="auto" w:sz="4" w:space="0"/>
              <w:left w:val="single" w:color="auto" w:sz="4" w:space="0"/>
              <w:bottom w:val="single" w:color="auto" w:sz="4" w:space="0"/>
              <w:right w:val="single" w:color="000000" w:sz="4" w:space="0"/>
            </w:tcBorders>
            <w:shd w:val="clear" w:color="auto" w:fill="auto"/>
            <w:noWrap/>
            <w:vAlign w:val="center"/>
          </w:tcPr>
          <w:p w14:paraId="5CDF0C16">
            <w:pPr>
              <w:widowControl/>
              <w:spacing w:before="93" w:beforeLines="30" w:after="93" w:afterLines="30" w:line="300" w:lineRule="exact"/>
              <w:jc w:val="center"/>
              <w:rPr>
                <w:color w:val="000000"/>
                <w:kern w:val="0"/>
                <w:szCs w:val="21"/>
              </w:rPr>
            </w:pPr>
          </w:p>
        </w:tc>
      </w:tr>
      <w:tr w14:paraId="336AC39E">
        <w:tblPrEx>
          <w:tblCellMar>
            <w:top w:w="0" w:type="dxa"/>
            <w:left w:w="108" w:type="dxa"/>
            <w:bottom w:w="0" w:type="dxa"/>
            <w:right w:w="108" w:type="dxa"/>
          </w:tblCellMar>
        </w:tblPrEx>
        <w:trPr>
          <w:gridAfter w:val="1"/>
          <w:wAfter w:w="6" w:type="dxa"/>
          <w:trHeight w:val="319" w:hRule="atLeast"/>
        </w:trPr>
        <w:tc>
          <w:tcPr>
            <w:tcW w:w="2850" w:type="dxa"/>
            <w:tcBorders>
              <w:top w:val="single" w:color="auto" w:sz="4" w:space="0"/>
              <w:left w:val="single" w:color="auto" w:sz="4" w:space="0"/>
              <w:bottom w:val="single" w:color="000000" w:sz="4" w:space="0"/>
              <w:right w:val="single" w:color="auto" w:sz="4" w:space="0"/>
            </w:tcBorders>
            <w:vAlign w:val="center"/>
          </w:tcPr>
          <w:p w14:paraId="6AA9CBD3">
            <w:pPr>
              <w:widowControl/>
              <w:spacing w:before="93" w:beforeLines="30" w:after="93" w:afterLines="30" w:line="300" w:lineRule="exact"/>
              <w:jc w:val="left"/>
              <w:rPr>
                <w:color w:val="000000"/>
                <w:kern w:val="0"/>
                <w:szCs w:val="21"/>
              </w:rPr>
            </w:pPr>
            <w:r>
              <w:rPr>
                <w:color w:val="000000"/>
                <w:kern w:val="0"/>
                <w:szCs w:val="21"/>
              </w:rPr>
              <w:t>出票日期：</w:t>
            </w:r>
          </w:p>
        </w:tc>
        <w:tc>
          <w:tcPr>
            <w:tcW w:w="1843" w:type="dxa"/>
            <w:tcBorders>
              <w:top w:val="single" w:color="auto" w:sz="4" w:space="0"/>
              <w:left w:val="nil"/>
              <w:bottom w:val="single" w:color="auto" w:sz="4" w:space="0"/>
              <w:right w:val="single" w:color="000000" w:sz="4" w:space="0"/>
            </w:tcBorders>
            <w:shd w:val="clear" w:color="auto" w:fill="auto"/>
            <w:noWrap/>
            <w:vAlign w:val="center"/>
          </w:tcPr>
          <w:p w14:paraId="0972214E">
            <w:pPr>
              <w:widowControl/>
              <w:spacing w:before="93" w:beforeLines="30" w:after="93" w:afterLines="30" w:line="300" w:lineRule="exact"/>
              <w:jc w:val="center"/>
              <w:rPr>
                <w:color w:val="000000"/>
                <w:kern w:val="0"/>
                <w:szCs w:val="21"/>
              </w:rPr>
            </w:pPr>
          </w:p>
        </w:tc>
        <w:tc>
          <w:tcPr>
            <w:tcW w:w="2268" w:type="dxa"/>
            <w:tcBorders>
              <w:top w:val="nil"/>
              <w:left w:val="nil"/>
              <w:bottom w:val="single" w:color="auto" w:sz="4" w:space="0"/>
              <w:right w:val="nil"/>
            </w:tcBorders>
            <w:shd w:val="clear" w:color="auto" w:fill="auto"/>
            <w:noWrap/>
            <w:vAlign w:val="center"/>
          </w:tcPr>
          <w:p w14:paraId="2D787CFD">
            <w:pPr>
              <w:widowControl/>
              <w:spacing w:before="93" w:beforeLines="30" w:after="93" w:afterLines="30" w:line="300" w:lineRule="exact"/>
              <w:jc w:val="left"/>
              <w:rPr>
                <w:color w:val="000000"/>
                <w:kern w:val="0"/>
                <w:szCs w:val="21"/>
              </w:rPr>
            </w:pPr>
            <w:r>
              <w:rPr>
                <w:color w:val="000000"/>
                <w:kern w:val="0"/>
                <w:szCs w:val="21"/>
              </w:rPr>
              <w:t>汇票期限：</w:t>
            </w:r>
          </w:p>
        </w:tc>
        <w:tc>
          <w:tcPr>
            <w:tcW w:w="1835" w:type="dxa"/>
            <w:tcBorders>
              <w:top w:val="single" w:color="auto" w:sz="4" w:space="0"/>
              <w:left w:val="single" w:color="auto" w:sz="4" w:space="0"/>
              <w:bottom w:val="single" w:color="auto" w:sz="4" w:space="0"/>
              <w:right w:val="single" w:color="000000" w:sz="4" w:space="0"/>
            </w:tcBorders>
            <w:shd w:val="clear" w:color="auto" w:fill="auto"/>
            <w:noWrap/>
            <w:vAlign w:val="center"/>
          </w:tcPr>
          <w:p w14:paraId="7764B6AC">
            <w:pPr>
              <w:widowControl/>
              <w:spacing w:before="93" w:beforeLines="30" w:after="93" w:afterLines="30" w:line="300" w:lineRule="exact"/>
              <w:jc w:val="center"/>
              <w:rPr>
                <w:color w:val="000000"/>
                <w:kern w:val="0"/>
                <w:szCs w:val="21"/>
              </w:rPr>
            </w:pPr>
          </w:p>
        </w:tc>
      </w:tr>
      <w:tr w14:paraId="699256EA">
        <w:tblPrEx>
          <w:tblCellMar>
            <w:top w:w="0" w:type="dxa"/>
            <w:left w:w="108" w:type="dxa"/>
            <w:bottom w:w="0" w:type="dxa"/>
            <w:right w:w="108" w:type="dxa"/>
          </w:tblCellMar>
        </w:tblPrEx>
        <w:trPr>
          <w:gridAfter w:val="1"/>
          <w:wAfter w:w="6" w:type="dxa"/>
          <w:trHeight w:val="319" w:hRule="atLeast"/>
        </w:trPr>
        <w:tc>
          <w:tcPr>
            <w:tcW w:w="2850" w:type="dxa"/>
            <w:tcBorders>
              <w:top w:val="single" w:color="auto" w:sz="4" w:space="0"/>
              <w:left w:val="single" w:color="auto" w:sz="4" w:space="0"/>
              <w:bottom w:val="single" w:color="000000" w:sz="4" w:space="0"/>
              <w:right w:val="single" w:color="auto" w:sz="4" w:space="0"/>
            </w:tcBorders>
            <w:vAlign w:val="center"/>
          </w:tcPr>
          <w:p w14:paraId="5BE47808">
            <w:pPr>
              <w:widowControl/>
              <w:spacing w:before="93" w:beforeLines="30" w:after="93" w:afterLines="30" w:line="300" w:lineRule="exact"/>
              <w:jc w:val="left"/>
              <w:rPr>
                <w:color w:val="000000"/>
                <w:kern w:val="0"/>
                <w:szCs w:val="21"/>
              </w:rPr>
            </w:pPr>
            <w:r>
              <w:rPr>
                <w:color w:val="000000"/>
                <w:kern w:val="0"/>
                <w:szCs w:val="21"/>
              </w:rPr>
              <w:t>汇票到期日：</w:t>
            </w:r>
          </w:p>
        </w:tc>
        <w:tc>
          <w:tcPr>
            <w:tcW w:w="1843" w:type="dxa"/>
            <w:tcBorders>
              <w:top w:val="single" w:color="auto" w:sz="4" w:space="0"/>
              <w:left w:val="nil"/>
              <w:bottom w:val="single" w:color="auto" w:sz="4" w:space="0"/>
              <w:right w:val="single" w:color="000000" w:sz="4" w:space="0"/>
            </w:tcBorders>
            <w:shd w:val="clear" w:color="auto" w:fill="auto"/>
            <w:noWrap/>
            <w:vAlign w:val="center"/>
          </w:tcPr>
          <w:p w14:paraId="602CF5C1">
            <w:pPr>
              <w:widowControl/>
              <w:spacing w:before="93" w:beforeLines="30" w:after="93" w:afterLines="30" w:line="300" w:lineRule="exact"/>
              <w:jc w:val="center"/>
              <w:rPr>
                <w:color w:val="000000"/>
                <w:kern w:val="0"/>
                <w:szCs w:val="21"/>
              </w:rPr>
            </w:pPr>
          </w:p>
        </w:tc>
        <w:tc>
          <w:tcPr>
            <w:tcW w:w="2268" w:type="dxa"/>
            <w:tcBorders>
              <w:top w:val="nil"/>
              <w:left w:val="nil"/>
              <w:bottom w:val="single" w:color="auto" w:sz="4" w:space="0"/>
              <w:right w:val="nil"/>
            </w:tcBorders>
            <w:shd w:val="clear" w:color="auto" w:fill="auto"/>
            <w:noWrap/>
            <w:vAlign w:val="center"/>
          </w:tcPr>
          <w:p w14:paraId="483055DC">
            <w:pPr>
              <w:widowControl/>
              <w:spacing w:before="93" w:beforeLines="30" w:after="93" w:afterLines="30" w:line="300" w:lineRule="exact"/>
              <w:jc w:val="left"/>
              <w:rPr>
                <w:color w:val="000000"/>
                <w:kern w:val="0"/>
                <w:szCs w:val="21"/>
              </w:rPr>
            </w:pPr>
            <w:r>
              <w:rPr>
                <w:color w:val="000000"/>
                <w:kern w:val="0"/>
                <w:szCs w:val="21"/>
              </w:rPr>
              <w:t>出账流水号：</w:t>
            </w:r>
          </w:p>
        </w:tc>
        <w:tc>
          <w:tcPr>
            <w:tcW w:w="1835" w:type="dxa"/>
            <w:tcBorders>
              <w:top w:val="single" w:color="auto" w:sz="4" w:space="0"/>
              <w:left w:val="single" w:color="auto" w:sz="4" w:space="0"/>
              <w:bottom w:val="single" w:color="auto" w:sz="4" w:space="0"/>
              <w:right w:val="single" w:color="000000" w:sz="4" w:space="0"/>
            </w:tcBorders>
            <w:shd w:val="clear" w:color="auto" w:fill="auto"/>
            <w:noWrap/>
            <w:vAlign w:val="center"/>
          </w:tcPr>
          <w:p w14:paraId="52671D05">
            <w:pPr>
              <w:widowControl/>
              <w:spacing w:before="93" w:beforeLines="30" w:after="93" w:afterLines="30" w:line="300" w:lineRule="exact"/>
              <w:jc w:val="center"/>
              <w:rPr>
                <w:color w:val="000000"/>
                <w:kern w:val="0"/>
                <w:szCs w:val="21"/>
              </w:rPr>
            </w:pPr>
          </w:p>
        </w:tc>
      </w:tr>
      <w:tr w14:paraId="57174ABC">
        <w:tblPrEx>
          <w:tblCellMar>
            <w:top w:w="0" w:type="dxa"/>
            <w:left w:w="108" w:type="dxa"/>
            <w:bottom w:w="0" w:type="dxa"/>
            <w:right w:w="108" w:type="dxa"/>
          </w:tblCellMar>
        </w:tblPrEx>
        <w:trPr>
          <w:gridAfter w:val="1"/>
          <w:wAfter w:w="6" w:type="dxa"/>
          <w:trHeight w:val="319" w:hRule="atLeast"/>
        </w:trPr>
        <w:tc>
          <w:tcPr>
            <w:tcW w:w="2850" w:type="dxa"/>
            <w:tcBorders>
              <w:top w:val="single" w:color="auto" w:sz="4" w:space="0"/>
              <w:left w:val="single" w:color="auto" w:sz="4" w:space="0"/>
              <w:bottom w:val="single" w:color="000000" w:sz="4" w:space="0"/>
              <w:right w:val="single" w:color="auto" w:sz="4" w:space="0"/>
            </w:tcBorders>
            <w:vAlign w:val="center"/>
          </w:tcPr>
          <w:p w14:paraId="55510A31">
            <w:pPr>
              <w:widowControl/>
              <w:spacing w:before="93" w:beforeLines="30" w:after="93" w:afterLines="30" w:line="300" w:lineRule="exact"/>
              <w:jc w:val="left"/>
              <w:rPr>
                <w:color w:val="000000"/>
                <w:kern w:val="0"/>
                <w:szCs w:val="21"/>
              </w:rPr>
            </w:pPr>
            <w:r>
              <w:rPr>
                <w:color w:val="000000"/>
                <w:kern w:val="0"/>
                <w:szCs w:val="21"/>
              </w:rPr>
              <w:t>业务类型：</w:t>
            </w:r>
          </w:p>
        </w:tc>
        <w:tc>
          <w:tcPr>
            <w:tcW w:w="1843" w:type="dxa"/>
            <w:tcBorders>
              <w:top w:val="single" w:color="auto" w:sz="4" w:space="0"/>
              <w:left w:val="nil"/>
              <w:bottom w:val="single" w:color="auto" w:sz="4" w:space="0"/>
              <w:right w:val="single" w:color="000000" w:sz="4" w:space="0"/>
            </w:tcBorders>
            <w:shd w:val="clear" w:color="auto" w:fill="auto"/>
            <w:noWrap/>
            <w:vAlign w:val="center"/>
          </w:tcPr>
          <w:p w14:paraId="0E2D7EFE">
            <w:pPr>
              <w:widowControl/>
              <w:spacing w:before="93" w:beforeLines="30" w:after="93" w:afterLines="30" w:line="300" w:lineRule="exact"/>
              <w:jc w:val="center"/>
              <w:rPr>
                <w:color w:val="000000"/>
                <w:kern w:val="0"/>
                <w:szCs w:val="21"/>
              </w:rPr>
            </w:pPr>
          </w:p>
        </w:tc>
        <w:tc>
          <w:tcPr>
            <w:tcW w:w="2268" w:type="dxa"/>
            <w:tcBorders>
              <w:top w:val="nil"/>
              <w:left w:val="nil"/>
              <w:bottom w:val="single" w:color="auto" w:sz="4" w:space="0"/>
              <w:right w:val="nil"/>
            </w:tcBorders>
            <w:shd w:val="clear" w:color="auto" w:fill="auto"/>
            <w:noWrap/>
            <w:vAlign w:val="center"/>
          </w:tcPr>
          <w:p w14:paraId="622C2300">
            <w:pPr>
              <w:widowControl/>
              <w:spacing w:before="93" w:beforeLines="30" w:after="93" w:afterLines="30" w:line="300" w:lineRule="exact"/>
              <w:jc w:val="left"/>
              <w:rPr>
                <w:color w:val="000000"/>
                <w:kern w:val="0"/>
                <w:szCs w:val="21"/>
              </w:rPr>
            </w:pPr>
            <w:r>
              <w:rPr>
                <w:color w:val="000000"/>
                <w:kern w:val="0"/>
                <w:szCs w:val="21"/>
              </w:rPr>
              <w:t>保证金类型：</w:t>
            </w:r>
          </w:p>
        </w:tc>
        <w:tc>
          <w:tcPr>
            <w:tcW w:w="1835" w:type="dxa"/>
            <w:tcBorders>
              <w:top w:val="single" w:color="auto" w:sz="4" w:space="0"/>
              <w:left w:val="single" w:color="auto" w:sz="4" w:space="0"/>
              <w:bottom w:val="single" w:color="auto" w:sz="4" w:space="0"/>
              <w:right w:val="single" w:color="000000" w:sz="4" w:space="0"/>
            </w:tcBorders>
            <w:shd w:val="clear" w:color="auto" w:fill="auto"/>
            <w:noWrap/>
            <w:vAlign w:val="center"/>
          </w:tcPr>
          <w:p w14:paraId="6DE7379B">
            <w:pPr>
              <w:widowControl/>
              <w:spacing w:before="93" w:beforeLines="30" w:after="93" w:afterLines="30" w:line="300" w:lineRule="exact"/>
              <w:jc w:val="center"/>
              <w:rPr>
                <w:color w:val="000000"/>
                <w:kern w:val="0"/>
                <w:szCs w:val="21"/>
              </w:rPr>
            </w:pPr>
          </w:p>
        </w:tc>
      </w:tr>
      <w:tr w14:paraId="62BBC981">
        <w:tblPrEx>
          <w:tblCellMar>
            <w:top w:w="0" w:type="dxa"/>
            <w:left w:w="108" w:type="dxa"/>
            <w:bottom w:w="0" w:type="dxa"/>
            <w:right w:w="108" w:type="dxa"/>
          </w:tblCellMar>
        </w:tblPrEx>
        <w:trPr>
          <w:gridAfter w:val="1"/>
          <w:wAfter w:w="6" w:type="dxa"/>
          <w:trHeight w:val="319" w:hRule="atLeast"/>
        </w:trPr>
        <w:tc>
          <w:tcPr>
            <w:tcW w:w="2850" w:type="dxa"/>
            <w:tcBorders>
              <w:top w:val="single" w:color="auto" w:sz="4" w:space="0"/>
              <w:left w:val="single" w:color="auto" w:sz="4" w:space="0"/>
              <w:bottom w:val="single" w:color="000000" w:sz="4" w:space="0"/>
              <w:right w:val="single" w:color="auto" w:sz="4" w:space="0"/>
            </w:tcBorders>
            <w:vAlign w:val="center"/>
          </w:tcPr>
          <w:p w14:paraId="11D95962">
            <w:pPr>
              <w:widowControl/>
              <w:spacing w:before="93" w:beforeLines="30" w:after="93" w:afterLines="30" w:line="300" w:lineRule="exact"/>
              <w:jc w:val="left"/>
              <w:rPr>
                <w:color w:val="000000"/>
                <w:kern w:val="0"/>
                <w:szCs w:val="21"/>
              </w:rPr>
            </w:pPr>
            <w:r>
              <w:rPr>
                <w:color w:val="000000"/>
                <w:kern w:val="0"/>
                <w:szCs w:val="21"/>
              </w:rPr>
              <w:t>保证金账号：</w:t>
            </w:r>
          </w:p>
        </w:tc>
        <w:tc>
          <w:tcPr>
            <w:tcW w:w="1843" w:type="dxa"/>
            <w:tcBorders>
              <w:top w:val="single" w:color="auto" w:sz="4" w:space="0"/>
              <w:left w:val="nil"/>
              <w:bottom w:val="single" w:color="auto" w:sz="4" w:space="0"/>
              <w:right w:val="single" w:color="000000" w:sz="4" w:space="0"/>
            </w:tcBorders>
            <w:shd w:val="clear" w:color="auto" w:fill="auto"/>
            <w:noWrap/>
            <w:vAlign w:val="center"/>
          </w:tcPr>
          <w:p w14:paraId="0C264C43">
            <w:pPr>
              <w:widowControl/>
              <w:spacing w:before="93" w:beforeLines="30" w:after="93" w:afterLines="30" w:line="300" w:lineRule="exact"/>
              <w:jc w:val="center"/>
              <w:rPr>
                <w:color w:val="000000"/>
                <w:kern w:val="0"/>
                <w:szCs w:val="21"/>
              </w:rPr>
            </w:pPr>
          </w:p>
        </w:tc>
        <w:tc>
          <w:tcPr>
            <w:tcW w:w="2268" w:type="dxa"/>
            <w:tcBorders>
              <w:top w:val="nil"/>
              <w:left w:val="nil"/>
              <w:bottom w:val="single" w:color="auto" w:sz="4" w:space="0"/>
              <w:right w:val="nil"/>
            </w:tcBorders>
            <w:shd w:val="clear" w:color="auto" w:fill="auto"/>
            <w:noWrap/>
            <w:vAlign w:val="center"/>
          </w:tcPr>
          <w:p w14:paraId="0FEC8675">
            <w:pPr>
              <w:widowControl/>
              <w:spacing w:before="93" w:beforeLines="30" w:after="93" w:afterLines="30" w:line="300" w:lineRule="exact"/>
              <w:jc w:val="left"/>
              <w:rPr>
                <w:color w:val="000000"/>
                <w:kern w:val="0"/>
                <w:szCs w:val="21"/>
              </w:rPr>
            </w:pPr>
            <w:r>
              <w:rPr>
                <w:color w:val="000000"/>
                <w:kern w:val="0"/>
                <w:szCs w:val="21"/>
              </w:rPr>
              <w:t>保证金计息：</w:t>
            </w:r>
          </w:p>
        </w:tc>
        <w:tc>
          <w:tcPr>
            <w:tcW w:w="1835" w:type="dxa"/>
            <w:tcBorders>
              <w:top w:val="single" w:color="auto" w:sz="4" w:space="0"/>
              <w:left w:val="single" w:color="auto" w:sz="4" w:space="0"/>
              <w:bottom w:val="single" w:color="auto" w:sz="4" w:space="0"/>
              <w:right w:val="single" w:color="000000" w:sz="4" w:space="0"/>
            </w:tcBorders>
            <w:shd w:val="clear" w:color="auto" w:fill="auto"/>
            <w:noWrap/>
            <w:vAlign w:val="center"/>
          </w:tcPr>
          <w:p w14:paraId="13DB5926">
            <w:pPr>
              <w:widowControl/>
              <w:spacing w:before="93" w:beforeLines="30" w:after="93" w:afterLines="30" w:line="300" w:lineRule="exact"/>
              <w:jc w:val="center"/>
              <w:rPr>
                <w:color w:val="000000"/>
                <w:kern w:val="0"/>
                <w:szCs w:val="21"/>
              </w:rPr>
            </w:pPr>
          </w:p>
        </w:tc>
      </w:tr>
      <w:tr w14:paraId="63CA21DA">
        <w:tblPrEx>
          <w:tblCellMar>
            <w:top w:w="0" w:type="dxa"/>
            <w:left w:w="108" w:type="dxa"/>
            <w:bottom w:w="0" w:type="dxa"/>
            <w:right w:w="108" w:type="dxa"/>
          </w:tblCellMar>
        </w:tblPrEx>
        <w:trPr>
          <w:gridAfter w:val="1"/>
          <w:wAfter w:w="6" w:type="dxa"/>
          <w:trHeight w:val="319" w:hRule="atLeast"/>
        </w:trPr>
        <w:tc>
          <w:tcPr>
            <w:tcW w:w="2850" w:type="dxa"/>
            <w:tcBorders>
              <w:top w:val="single" w:color="auto" w:sz="4" w:space="0"/>
              <w:left w:val="single" w:color="auto" w:sz="4" w:space="0"/>
              <w:bottom w:val="single" w:color="000000" w:sz="4" w:space="0"/>
              <w:right w:val="single" w:color="auto" w:sz="4" w:space="0"/>
            </w:tcBorders>
            <w:vAlign w:val="center"/>
          </w:tcPr>
          <w:p w14:paraId="2ADA9700">
            <w:pPr>
              <w:widowControl/>
              <w:spacing w:before="93" w:beforeLines="30" w:after="93" w:afterLines="30" w:line="300" w:lineRule="exact"/>
              <w:jc w:val="left"/>
              <w:rPr>
                <w:color w:val="000000"/>
                <w:kern w:val="0"/>
                <w:szCs w:val="21"/>
              </w:rPr>
            </w:pPr>
            <w:r>
              <w:rPr>
                <w:color w:val="000000"/>
                <w:kern w:val="0"/>
                <w:szCs w:val="21"/>
              </w:rPr>
              <w:t>保证金使用类型：</w:t>
            </w:r>
          </w:p>
        </w:tc>
        <w:tc>
          <w:tcPr>
            <w:tcW w:w="1843" w:type="dxa"/>
            <w:tcBorders>
              <w:top w:val="single" w:color="auto" w:sz="4" w:space="0"/>
              <w:left w:val="nil"/>
              <w:bottom w:val="single" w:color="auto" w:sz="4" w:space="0"/>
              <w:right w:val="single" w:color="000000" w:sz="4" w:space="0"/>
            </w:tcBorders>
            <w:shd w:val="clear" w:color="auto" w:fill="auto"/>
            <w:noWrap/>
            <w:vAlign w:val="center"/>
          </w:tcPr>
          <w:p w14:paraId="0B9CE204">
            <w:pPr>
              <w:widowControl/>
              <w:spacing w:before="93" w:beforeLines="30" w:after="93" w:afterLines="30" w:line="300" w:lineRule="exact"/>
              <w:jc w:val="center"/>
              <w:rPr>
                <w:color w:val="000000"/>
                <w:kern w:val="0"/>
                <w:szCs w:val="21"/>
              </w:rPr>
            </w:pPr>
          </w:p>
        </w:tc>
        <w:tc>
          <w:tcPr>
            <w:tcW w:w="2268" w:type="dxa"/>
            <w:tcBorders>
              <w:top w:val="nil"/>
              <w:left w:val="nil"/>
              <w:bottom w:val="single" w:color="auto" w:sz="4" w:space="0"/>
              <w:right w:val="nil"/>
            </w:tcBorders>
            <w:shd w:val="clear" w:color="auto" w:fill="auto"/>
            <w:noWrap/>
            <w:vAlign w:val="center"/>
          </w:tcPr>
          <w:p w14:paraId="6FD18EDD">
            <w:pPr>
              <w:widowControl/>
              <w:spacing w:before="93" w:beforeLines="30" w:after="93" w:afterLines="30" w:line="300" w:lineRule="exact"/>
              <w:jc w:val="left"/>
              <w:rPr>
                <w:color w:val="000000"/>
                <w:kern w:val="0"/>
                <w:szCs w:val="21"/>
              </w:rPr>
            </w:pPr>
            <w:r>
              <w:rPr>
                <w:color w:val="000000"/>
                <w:kern w:val="0"/>
                <w:szCs w:val="21"/>
              </w:rPr>
              <w:t>最低初始保证金比例：</w:t>
            </w:r>
          </w:p>
        </w:tc>
        <w:tc>
          <w:tcPr>
            <w:tcW w:w="1835" w:type="dxa"/>
            <w:tcBorders>
              <w:top w:val="single" w:color="auto" w:sz="4" w:space="0"/>
              <w:left w:val="single" w:color="auto" w:sz="4" w:space="0"/>
              <w:bottom w:val="single" w:color="auto" w:sz="4" w:space="0"/>
              <w:right w:val="single" w:color="000000" w:sz="4" w:space="0"/>
            </w:tcBorders>
            <w:shd w:val="clear" w:color="auto" w:fill="auto"/>
            <w:noWrap/>
            <w:vAlign w:val="center"/>
          </w:tcPr>
          <w:p w14:paraId="57C964FC">
            <w:pPr>
              <w:widowControl/>
              <w:spacing w:before="93" w:beforeLines="30" w:after="93" w:afterLines="30" w:line="300" w:lineRule="exact"/>
              <w:jc w:val="center"/>
              <w:rPr>
                <w:color w:val="000000"/>
                <w:kern w:val="0"/>
                <w:szCs w:val="21"/>
              </w:rPr>
            </w:pPr>
          </w:p>
        </w:tc>
      </w:tr>
      <w:tr w14:paraId="7EB37FE2">
        <w:tblPrEx>
          <w:tblCellMar>
            <w:top w:w="0" w:type="dxa"/>
            <w:left w:w="108" w:type="dxa"/>
            <w:bottom w:w="0" w:type="dxa"/>
            <w:right w:w="108" w:type="dxa"/>
          </w:tblCellMar>
        </w:tblPrEx>
        <w:trPr>
          <w:gridAfter w:val="1"/>
          <w:wAfter w:w="6" w:type="dxa"/>
          <w:trHeight w:val="319" w:hRule="atLeast"/>
        </w:trPr>
        <w:tc>
          <w:tcPr>
            <w:tcW w:w="2850" w:type="dxa"/>
            <w:tcBorders>
              <w:top w:val="single" w:color="auto" w:sz="4" w:space="0"/>
              <w:left w:val="single" w:color="auto" w:sz="4" w:space="0"/>
              <w:bottom w:val="single" w:color="000000" w:sz="4" w:space="0"/>
              <w:right w:val="single" w:color="auto" w:sz="4" w:space="0"/>
            </w:tcBorders>
            <w:vAlign w:val="center"/>
          </w:tcPr>
          <w:p w14:paraId="4D3F60C9">
            <w:pPr>
              <w:widowControl/>
              <w:spacing w:before="93" w:beforeLines="30" w:after="93" w:afterLines="30" w:line="300" w:lineRule="exact"/>
              <w:jc w:val="left"/>
              <w:rPr>
                <w:color w:val="000000"/>
                <w:kern w:val="0"/>
                <w:szCs w:val="21"/>
              </w:rPr>
            </w:pPr>
            <w:r>
              <w:rPr>
                <w:color w:val="000000"/>
                <w:kern w:val="0"/>
                <w:szCs w:val="21"/>
              </w:rPr>
              <w:t>保证金金额：</w:t>
            </w:r>
          </w:p>
        </w:tc>
        <w:tc>
          <w:tcPr>
            <w:tcW w:w="1843" w:type="dxa"/>
            <w:tcBorders>
              <w:top w:val="single" w:color="auto" w:sz="4" w:space="0"/>
              <w:left w:val="nil"/>
              <w:bottom w:val="single" w:color="auto" w:sz="4" w:space="0"/>
              <w:right w:val="single" w:color="000000" w:sz="4" w:space="0"/>
            </w:tcBorders>
            <w:shd w:val="clear" w:color="auto" w:fill="auto"/>
            <w:noWrap/>
            <w:vAlign w:val="center"/>
          </w:tcPr>
          <w:p w14:paraId="120C8962">
            <w:pPr>
              <w:widowControl/>
              <w:spacing w:before="93" w:beforeLines="30" w:after="93" w:afterLines="30" w:line="300" w:lineRule="exact"/>
              <w:jc w:val="center"/>
              <w:rPr>
                <w:color w:val="000000"/>
                <w:kern w:val="0"/>
                <w:szCs w:val="21"/>
              </w:rPr>
            </w:pPr>
          </w:p>
        </w:tc>
        <w:tc>
          <w:tcPr>
            <w:tcW w:w="2268" w:type="dxa"/>
            <w:tcBorders>
              <w:top w:val="nil"/>
              <w:left w:val="nil"/>
              <w:bottom w:val="single" w:color="auto" w:sz="4" w:space="0"/>
              <w:right w:val="nil"/>
            </w:tcBorders>
            <w:shd w:val="clear" w:color="auto" w:fill="auto"/>
            <w:noWrap/>
            <w:vAlign w:val="center"/>
          </w:tcPr>
          <w:p w14:paraId="0EBD68A5">
            <w:pPr>
              <w:widowControl/>
              <w:spacing w:before="93" w:beforeLines="30" w:after="93" w:afterLines="30" w:line="300" w:lineRule="exact"/>
              <w:jc w:val="left"/>
              <w:rPr>
                <w:color w:val="000000"/>
                <w:kern w:val="0"/>
                <w:szCs w:val="21"/>
              </w:rPr>
            </w:pPr>
            <w:r>
              <w:rPr>
                <w:color w:val="000000"/>
                <w:kern w:val="0"/>
                <w:szCs w:val="21"/>
              </w:rPr>
              <w:t>实际保证金比例：</w:t>
            </w:r>
          </w:p>
        </w:tc>
        <w:tc>
          <w:tcPr>
            <w:tcW w:w="1835" w:type="dxa"/>
            <w:tcBorders>
              <w:top w:val="single" w:color="auto" w:sz="4" w:space="0"/>
              <w:left w:val="single" w:color="auto" w:sz="4" w:space="0"/>
              <w:bottom w:val="single" w:color="auto" w:sz="4" w:space="0"/>
              <w:right w:val="single" w:color="000000" w:sz="4" w:space="0"/>
            </w:tcBorders>
            <w:shd w:val="clear" w:color="auto" w:fill="auto"/>
            <w:noWrap/>
            <w:vAlign w:val="center"/>
          </w:tcPr>
          <w:p w14:paraId="16F7CF6B">
            <w:pPr>
              <w:widowControl/>
              <w:spacing w:before="93" w:beforeLines="30" w:after="93" w:afterLines="30" w:line="300" w:lineRule="exact"/>
              <w:jc w:val="center"/>
              <w:rPr>
                <w:color w:val="000000"/>
                <w:kern w:val="0"/>
                <w:szCs w:val="21"/>
              </w:rPr>
            </w:pPr>
          </w:p>
        </w:tc>
      </w:tr>
      <w:tr w14:paraId="5F7860D1">
        <w:tblPrEx>
          <w:tblCellMar>
            <w:top w:w="0" w:type="dxa"/>
            <w:left w:w="108" w:type="dxa"/>
            <w:bottom w:w="0" w:type="dxa"/>
            <w:right w:w="108" w:type="dxa"/>
          </w:tblCellMar>
        </w:tblPrEx>
        <w:trPr>
          <w:gridAfter w:val="1"/>
          <w:wAfter w:w="6" w:type="dxa"/>
          <w:trHeight w:val="319" w:hRule="atLeast"/>
        </w:trPr>
        <w:tc>
          <w:tcPr>
            <w:tcW w:w="2850" w:type="dxa"/>
            <w:tcBorders>
              <w:top w:val="single" w:color="auto" w:sz="4" w:space="0"/>
              <w:left w:val="single" w:color="auto" w:sz="4" w:space="0"/>
              <w:bottom w:val="single" w:color="000000" w:sz="4" w:space="0"/>
              <w:right w:val="single" w:color="auto" w:sz="4" w:space="0"/>
            </w:tcBorders>
            <w:vAlign w:val="center"/>
          </w:tcPr>
          <w:p w14:paraId="5986AC0D">
            <w:pPr>
              <w:widowControl/>
              <w:spacing w:before="93" w:beforeLines="30" w:after="93" w:afterLines="30" w:line="300" w:lineRule="exact"/>
              <w:jc w:val="left"/>
              <w:rPr>
                <w:color w:val="000000"/>
                <w:kern w:val="0"/>
                <w:szCs w:val="21"/>
              </w:rPr>
            </w:pPr>
            <w:r>
              <w:rPr>
                <w:color w:val="000000"/>
                <w:kern w:val="0"/>
                <w:szCs w:val="21"/>
              </w:rPr>
              <w:t>保证金存期：</w:t>
            </w:r>
          </w:p>
        </w:tc>
        <w:tc>
          <w:tcPr>
            <w:tcW w:w="1843" w:type="dxa"/>
            <w:tcBorders>
              <w:top w:val="single" w:color="auto" w:sz="4" w:space="0"/>
              <w:left w:val="nil"/>
              <w:bottom w:val="single" w:color="auto" w:sz="4" w:space="0"/>
              <w:right w:val="single" w:color="000000" w:sz="4" w:space="0"/>
            </w:tcBorders>
            <w:shd w:val="clear" w:color="auto" w:fill="auto"/>
            <w:noWrap/>
            <w:vAlign w:val="center"/>
          </w:tcPr>
          <w:p w14:paraId="3DCAD626">
            <w:pPr>
              <w:widowControl/>
              <w:spacing w:before="93" w:beforeLines="30" w:after="93" w:afterLines="30" w:line="300" w:lineRule="exact"/>
              <w:jc w:val="center"/>
              <w:rPr>
                <w:color w:val="000000"/>
                <w:kern w:val="0"/>
                <w:szCs w:val="21"/>
              </w:rPr>
            </w:pPr>
          </w:p>
        </w:tc>
        <w:tc>
          <w:tcPr>
            <w:tcW w:w="2268" w:type="dxa"/>
            <w:tcBorders>
              <w:top w:val="nil"/>
              <w:left w:val="nil"/>
              <w:bottom w:val="single" w:color="auto" w:sz="4" w:space="0"/>
              <w:right w:val="nil"/>
            </w:tcBorders>
            <w:shd w:val="clear" w:color="auto" w:fill="auto"/>
            <w:noWrap/>
            <w:vAlign w:val="center"/>
          </w:tcPr>
          <w:p w14:paraId="36766D94">
            <w:pPr>
              <w:widowControl/>
              <w:spacing w:before="93" w:beforeLines="30" w:after="93" w:afterLines="30" w:line="300" w:lineRule="exact"/>
              <w:jc w:val="left"/>
              <w:rPr>
                <w:color w:val="000000"/>
                <w:kern w:val="0"/>
                <w:szCs w:val="21"/>
              </w:rPr>
            </w:pPr>
            <w:r>
              <w:rPr>
                <w:color w:val="000000"/>
                <w:kern w:val="0"/>
                <w:szCs w:val="21"/>
              </w:rPr>
              <w:t>保证金利差：</w:t>
            </w:r>
          </w:p>
        </w:tc>
        <w:tc>
          <w:tcPr>
            <w:tcW w:w="1835" w:type="dxa"/>
            <w:tcBorders>
              <w:top w:val="single" w:color="auto" w:sz="4" w:space="0"/>
              <w:left w:val="single" w:color="auto" w:sz="4" w:space="0"/>
              <w:bottom w:val="single" w:color="auto" w:sz="4" w:space="0"/>
              <w:right w:val="single" w:color="000000" w:sz="4" w:space="0"/>
            </w:tcBorders>
            <w:shd w:val="clear" w:color="auto" w:fill="auto"/>
            <w:noWrap/>
            <w:vAlign w:val="center"/>
          </w:tcPr>
          <w:p w14:paraId="5D1BF906">
            <w:pPr>
              <w:widowControl/>
              <w:spacing w:before="93" w:beforeLines="30" w:after="93" w:afterLines="30" w:line="300" w:lineRule="exact"/>
              <w:jc w:val="center"/>
              <w:rPr>
                <w:color w:val="000000"/>
                <w:kern w:val="0"/>
                <w:szCs w:val="21"/>
              </w:rPr>
            </w:pPr>
          </w:p>
        </w:tc>
      </w:tr>
      <w:tr w14:paraId="797CF51D">
        <w:tblPrEx>
          <w:tblCellMar>
            <w:top w:w="0" w:type="dxa"/>
            <w:left w:w="108" w:type="dxa"/>
            <w:bottom w:w="0" w:type="dxa"/>
            <w:right w:w="108" w:type="dxa"/>
          </w:tblCellMar>
        </w:tblPrEx>
        <w:trPr>
          <w:gridAfter w:val="1"/>
          <w:wAfter w:w="6" w:type="dxa"/>
          <w:trHeight w:val="499" w:hRule="atLeast"/>
        </w:trPr>
        <w:tc>
          <w:tcPr>
            <w:tcW w:w="2850" w:type="dxa"/>
            <w:tcBorders>
              <w:top w:val="single" w:color="auto" w:sz="4" w:space="0"/>
              <w:left w:val="single" w:color="auto" w:sz="4" w:space="0"/>
              <w:bottom w:val="single" w:color="000000" w:sz="4" w:space="0"/>
              <w:right w:val="single" w:color="auto" w:sz="4" w:space="0"/>
            </w:tcBorders>
            <w:vAlign w:val="center"/>
          </w:tcPr>
          <w:p w14:paraId="15453AB2">
            <w:pPr>
              <w:widowControl/>
              <w:spacing w:before="93" w:beforeLines="30" w:after="93" w:afterLines="30" w:line="300" w:lineRule="exact"/>
              <w:jc w:val="left"/>
              <w:rPr>
                <w:color w:val="000000"/>
                <w:kern w:val="0"/>
                <w:szCs w:val="21"/>
              </w:rPr>
            </w:pPr>
            <w:r>
              <w:rPr>
                <w:color w:val="000000"/>
                <w:kern w:val="0"/>
                <w:szCs w:val="21"/>
              </w:rPr>
              <w:t>保证金扣款账号余额：</w:t>
            </w:r>
          </w:p>
        </w:tc>
        <w:tc>
          <w:tcPr>
            <w:tcW w:w="1843" w:type="dxa"/>
            <w:tcBorders>
              <w:top w:val="single" w:color="auto" w:sz="4" w:space="0"/>
              <w:left w:val="nil"/>
              <w:bottom w:val="single" w:color="auto" w:sz="4" w:space="0"/>
              <w:right w:val="single" w:color="000000" w:sz="4" w:space="0"/>
            </w:tcBorders>
            <w:shd w:val="clear" w:color="auto" w:fill="auto"/>
            <w:noWrap/>
            <w:vAlign w:val="center"/>
          </w:tcPr>
          <w:p w14:paraId="72D96F33">
            <w:pPr>
              <w:widowControl/>
              <w:spacing w:before="93" w:beforeLines="30" w:after="93" w:afterLines="30" w:line="300" w:lineRule="exact"/>
              <w:jc w:val="center"/>
              <w:rPr>
                <w:color w:val="000000"/>
                <w:kern w:val="0"/>
                <w:szCs w:val="21"/>
              </w:rPr>
            </w:pPr>
          </w:p>
        </w:tc>
        <w:tc>
          <w:tcPr>
            <w:tcW w:w="2268" w:type="dxa"/>
            <w:tcBorders>
              <w:top w:val="nil"/>
              <w:left w:val="nil"/>
              <w:bottom w:val="single" w:color="auto" w:sz="4" w:space="0"/>
              <w:right w:val="nil"/>
            </w:tcBorders>
            <w:shd w:val="clear" w:color="auto" w:fill="auto"/>
            <w:noWrap/>
            <w:vAlign w:val="center"/>
          </w:tcPr>
          <w:p w14:paraId="0C2594B0">
            <w:pPr>
              <w:widowControl/>
              <w:spacing w:before="93" w:beforeLines="30" w:after="93" w:afterLines="30" w:line="300" w:lineRule="exact"/>
              <w:jc w:val="left"/>
              <w:rPr>
                <w:color w:val="000000"/>
                <w:kern w:val="0"/>
                <w:szCs w:val="21"/>
              </w:rPr>
            </w:pPr>
            <w:r>
              <w:rPr>
                <w:color w:val="000000"/>
                <w:kern w:val="0"/>
                <w:szCs w:val="21"/>
              </w:rPr>
              <w:t>保证金扣款账号：</w:t>
            </w:r>
          </w:p>
        </w:tc>
        <w:tc>
          <w:tcPr>
            <w:tcW w:w="1835" w:type="dxa"/>
            <w:tcBorders>
              <w:top w:val="single" w:color="auto" w:sz="4" w:space="0"/>
              <w:left w:val="single" w:color="auto" w:sz="4" w:space="0"/>
              <w:bottom w:val="single" w:color="auto" w:sz="4" w:space="0"/>
              <w:right w:val="single" w:color="000000" w:sz="4" w:space="0"/>
            </w:tcBorders>
            <w:shd w:val="clear" w:color="auto" w:fill="auto"/>
            <w:noWrap/>
            <w:vAlign w:val="center"/>
          </w:tcPr>
          <w:p w14:paraId="62A4CF13">
            <w:pPr>
              <w:widowControl/>
              <w:spacing w:before="93" w:beforeLines="30" w:after="93" w:afterLines="30" w:line="300" w:lineRule="exact"/>
              <w:jc w:val="center"/>
              <w:rPr>
                <w:color w:val="000000"/>
                <w:kern w:val="0"/>
                <w:szCs w:val="21"/>
              </w:rPr>
            </w:pPr>
          </w:p>
        </w:tc>
      </w:tr>
      <w:tr w14:paraId="578F4F41">
        <w:tblPrEx>
          <w:tblCellMar>
            <w:top w:w="0" w:type="dxa"/>
            <w:left w:w="108" w:type="dxa"/>
            <w:bottom w:w="0" w:type="dxa"/>
            <w:right w:w="108" w:type="dxa"/>
          </w:tblCellMar>
        </w:tblPrEx>
        <w:trPr>
          <w:gridAfter w:val="1"/>
          <w:wAfter w:w="6" w:type="dxa"/>
          <w:trHeight w:val="319" w:hRule="atLeast"/>
        </w:trPr>
        <w:tc>
          <w:tcPr>
            <w:tcW w:w="2850" w:type="dxa"/>
            <w:tcBorders>
              <w:top w:val="single" w:color="auto" w:sz="4" w:space="0"/>
              <w:left w:val="single" w:color="auto" w:sz="4" w:space="0"/>
              <w:bottom w:val="single" w:color="000000" w:sz="4" w:space="0"/>
              <w:right w:val="single" w:color="auto" w:sz="4" w:space="0"/>
            </w:tcBorders>
            <w:vAlign w:val="center"/>
          </w:tcPr>
          <w:p w14:paraId="636AE00D">
            <w:pPr>
              <w:widowControl/>
              <w:spacing w:before="93" w:beforeLines="30" w:after="93" w:afterLines="30" w:line="300" w:lineRule="exact"/>
              <w:jc w:val="left"/>
              <w:rPr>
                <w:color w:val="000000"/>
                <w:kern w:val="0"/>
                <w:szCs w:val="21"/>
              </w:rPr>
            </w:pPr>
            <w:r>
              <w:rPr>
                <w:color w:val="000000"/>
                <w:kern w:val="0"/>
                <w:szCs w:val="21"/>
              </w:rPr>
              <w:t>出票人账号：</w:t>
            </w:r>
          </w:p>
        </w:tc>
        <w:tc>
          <w:tcPr>
            <w:tcW w:w="1843" w:type="dxa"/>
            <w:tcBorders>
              <w:top w:val="single" w:color="auto" w:sz="4" w:space="0"/>
              <w:left w:val="nil"/>
              <w:bottom w:val="single" w:color="auto" w:sz="4" w:space="0"/>
              <w:right w:val="single" w:color="000000" w:sz="4" w:space="0"/>
            </w:tcBorders>
            <w:shd w:val="clear" w:color="auto" w:fill="auto"/>
            <w:noWrap/>
            <w:vAlign w:val="center"/>
          </w:tcPr>
          <w:p w14:paraId="7491925F">
            <w:pPr>
              <w:widowControl/>
              <w:spacing w:before="93" w:beforeLines="30" w:after="93" w:afterLines="30" w:line="300" w:lineRule="exact"/>
              <w:jc w:val="center"/>
              <w:rPr>
                <w:color w:val="000000"/>
                <w:kern w:val="0"/>
                <w:szCs w:val="21"/>
              </w:rPr>
            </w:pPr>
          </w:p>
        </w:tc>
        <w:tc>
          <w:tcPr>
            <w:tcW w:w="2268" w:type="dxa"/>
            <w:tcBorders>
              <w:top w:val="nil"/>
              <w:left w:val="nil"/>
              <w:bottom w:val="single" w:color="auto" w:sz="4" w:space="0"/>
              <w:right w:val="nil"/>
            </w:tcBorders>
            <w:shd w:val="clear" w:color="auto" w:fill="auto"/>
            <w:noWrap/>
            <w:vAlign w:val="center"/>
          </w:tcPr>
          <w:p w14:paraId="2DF4AA7C">
            <w:pPr>
              <w:widowControl/>
              <w:spacing w:before="93" w:beforeLines="30" w:after="93" w:afterLines="30" w:line="300" w:lineRule="exact"/>
              <w:jc w:val="left"/>
              <w:rPr>
                <w:color w:val="000000"/>
                <w:kern w:val="0"/>
                <w:szCs w:val="21"/>
              </w:rPr>
            </w:pPr>
            <w:r>
              <w:rPr>
                <w:color w:val="000000"/>
                <w:kern w:val="0"/>
                <w:szCs w:val="21"/>
              </w:rPr>
              <w:t>出票人名称：</w:t>
            </w:r>
          </w:p>
        </w:tc>
        <w:tc>
          <w:tcPr>
            <w:tcW w:w="1835" w:type="dxa"/>
            <w:tcBorders>
              <w:top w:val="single" w:color="auto" w:sz="4" w:space="0"/>
              <w:left w:val="single" w:color="auto" w:sz="4" w:space="0"/>
              <w:bottom w:val="single" w:color="auto" w:sz="4" w:space="0"/>
              <w:right w:val="single" w:color="000000" w:sz="4" w:space="0"/>
            </w:tcBorders>
            <w:shd w:val="clear" w:color="auto" w:fill="auto"/>
            <w:noWrap/>
            <w:vAlign w:val="center"/>
          </w:tcPr>
          <w:p w14:paraId="0DFE52B7">
            <w:pPr>
              <w:widowControl/>
              <w:spacing w:before="93" w:beforeLines="30" w:after="93" w:afterLines="30" w:line="300" w:lineRule="exact"/>
              <w:jc w:val="center"/>
              <w:rPr>
                <w:color w:val="000000"/>
                <w:kern w:val="0"/>
                <w:szCs w:val="21"/>
              </w:rPr>
            </w:pPr>
          </w:p>
        </w:tc>
      </w:tr>
      <w:tr w14:paraId="57459DE4">
        <w:tblPrEx>
          <w:tblCellMar>
            <w:top w:w="0" w:type="dxa"/>
            <w:left w:w="108" w:type="dxa"/>
            <w:bottom w:w="0" w:type="dxa"/>
            <w:right w:w="108" w:type="dxa"/>
          </w:tblCellMar>
        </w:tblPrEx>
        <w:trPr>
          <w:gridAfter w:val="1"/>
          <w:wAfter w:w="6" w:type="dxa"/>
          <w:trHeight w:val="319" w:hRule="atLeast"/>
        </w:trPr>
        <w:tc>
          <w:tcPr>
            <w:tcW w:w="2850" w:type="dxa"/>
            <w:tcBorders>
              <w:top w:val="single" w:color="auto" w:sz="4" w:space="0"/>
              <w:left w:val="single" w:color="auto" w:sz="4" w:space="0"/>
              <w:bottom w:val="single" w:color="000000" w:sz="4" w:space="0"/>
              <w:right w:val="single" w:color="auto" w:sz="4" w:space="0"/>
            </w:tcBorders>
            <w:vAlign w:val="center"/>
          </w:tcPr>
          <w:p w14:paraId="12794819">
            <w:pPr>
              <w:widowControl/>
              <w:spacing w:before="93" w:beforeLines="30" w:after="93" w:afterLines="30" w:line="300" w:lineRule="exact"/>
              <w:jc w:val="left"/>
              <w:rPr>
                <w:color w:val="000000"/>
                <w:kern w:val="0"/>
                <w:szCs w:val="21"/>
              </w:rPr>
            </w:pPr>
            <w:r>
              <w:rPr>
                <w:color w:val="000000"/>
                <w:kern w:val="0"/>
                <w:szCs w:val="21"/>
              </w:rPr>
              <w:t>出票人开户行：</w:t>
            </w:r>
          </w:p>
        </w:tc>
        <w:tc>
          <w:tcPr>
            <w:tcW w:w="1843" w:type="dxa"/>
            <w:tcBorders>
              <w:top w:val="single" w:color="auto" w:sz="4" w:space="0"/>
              <w:left w:val="nil"/>
              <w:bottom w:val="single" w:color="auto" w:sz="4" w:space="0"/>
              <w:right w:val="single" w:color="000000" w:sz="4" w:space="0"/>
            </w:tcBorders>
            <w:shd w:val="clear" w:color="auto" w:fill="auto"/>
            <w:noWrap/>
            <w:vAlign w:val="center"/>
          </w:tcPr>
          <w:p w14:paraId="78180BF2">
            <w:pPr>
              <w:widowControl/>
              <w:spacing w:before="93" w:beforeLines="30" w:after="93" w:afterLines="30" w:line="300" w:lineRule="exact"/>
              <w:jc w:val="center"/>
              <w:rPr>
                <w:color w:val="000000"/>
                <w:kern w:val="0"/>
                <w:szCs w:val="21"/>
              </w:rPr>
            </w:pPr>
          </w:p>
        </w:tc>
        <w:tc>
          <w:tcPr>
            <w:tcW w:w="2268" w:type="dxa"/>
            <w:tcBorders>
              <w:top w:val="nil"/>
              <w:left w:val="nil"/>
              <w:bottom w:val="single" w:color="auto" w:sz="4" w:space="0"/>
              <w:right w:val="nil"/>
            </w:tcBorders>
            <w:shd w:val="clear" w:color="auto" w:fill="auto"/>
            <w:noWrap/>
            <w:vAlign w:val="center"/>
          </w:tcPr>
          <w:p w14:paraId="04CFC19C">
            <w:pPr>
              <w:widowControl/>
              <w:spacing w:before="93" w:beforeLines="30" w:after="93" w:afterLines="30" w:line="300" w:lineRule="exact"/>
              <w:jc w:val="left"/>
              <w:rPr>
                <w:color w:val="000000"/>
                <w:kern w:val="0"/>
                <w:szCs w:val="21"/>
              </w:rPr>
            </w:pPr>
            <w:r>
              <w:rPr>
                <w:color w:val="000000"/>
                <w:kern w:val="0"/>
                <w:szCs w:val="21"/>
              </w:rPr>
              <w:t>备注：</w:t>
            </w:r>
          </w:p>
        </w:tc>
        <w:tc>
          <w:tcPr>
            <w:tcW w:w="1835" w:type="dxa"/>
            <w:tcBorders>
              <w:top w:val="single" w:color="auto" w:sz="4" w:space="0"/>
              <w:left w:val="single" w:color="auto" w:sz="4" w:space="0"/>
              <w:bottom w:val="single" w:color="auto" w:sz="4" w:space="0"/>
              <w:right w:val="single" w:color="000000" w:sz="4" w:space="0"/>
            </w:tcBorders>
            <w:shd w:val="clear" w:color="auto" w:fill="auto"/>
            <w:noWrap/>
            <w:vAlign w:val="center"/>
          </w:tcPr>
          <w:p w14:paraId="2BD0A6F5">
            <w:pPr>
              <w:widowControl/>
              <w:spacing w:before="93" w:beforeLines="30" w:after="93" w:afterLines="30" w:line="300" w:lineRule="exact"/>
              <w:jc w:val="center"/>
              <w:rPr>
                <w:color w:val="000000"/>
                <w:kern w:val="0"/>
                <w:szCs w:val="21"/>
              </w:rPr>
            </w:pPr>
          </w:p>
        </w:tc>
      </w:tr>
      <w:tr w14:paraId="1D142FFC">
        <w:tblPrEx>
          <w:tblCellMar>
            <w:top w:w="0" w:type="dxa"/>
            <w:left w:w="108" w:type="dxa"/>
            <w:bottom w:w="0" w:type="dxa"/>
            <w:right w:w="108" w:type="dxa"/>
          </w:tblCellMar>
        </w:tblPrEx>
        <w:trPr>
          <w:trHeight w:val="300" w:hRule="atLeast"/>
        </w:trPr>
        <w:tc>
          <w:tcPr>
            <w:tcW w:w="8802" w:type="dxa"/>
            <w:gridSpan w:val="5"/>
            <w:tcBorders>
              <w:top w:val="single" w:color="auto" w:sz="4" w:space="0"/>
              <w:left w:val="nil"/>
              <w:bottom w:val="single" w:color="auto" w:sz="4" w:space="0"/>
              <w:right w:val="nil"/>
            </w:tcBorders>
            <w:shd w:val="clear" w:color="auto" w:fill="auto"/>
            <w:noWrap/>
            <w:vAlign w:val="center"/>
          </w:tcPr>
          <w:p w14:paraId="7D331D2C">
            <w:pPr>
              <w:widowControl/>
              <w:spacing w:line="160" w:lineRule="exact"/>
              <w:rPr>
                <w:color w:val="000000"/>
                <w:kern w:val="0"/>
                <w:szCs w:val="21"/>
              </w:rPr>
            </w:pPr>
          </w:p>
        </w:tc>
      </w:tr>
      <w:tr w14:paraId="1CF94740">
        <w:tblPrEx>
          <w:tblCellMar>
            <w:top w:w="0" w:type="dxa"/>
            <w:left w:w="108" w:type="dxa"/>
            <w:bottom w:w="0" w:type="dxa"/>
            <w:right w:w="108" w:type="dxa"/>
          </w:tblCellMar>
        </w:tblPrEx>
        <w:trPr>
          <w:trHeight w:val="555" w:hRule="atLeast"/>
        </w:trPr>
        <w:tc>
          <w:tcPr>
            <w:tcW w:w="8802"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0F28F813">
            <w:pPr>
              <w:widowControl/>
              <w:spacing w:before="93" w:beforeLines="30" w:after="93" w:afterLines="30" w:line="300" w:lineRule="exact"/>
              <w:jc w:val="left"/>
              <w:rPr>
                <w:color w:val="000000"/>
                <w:kern w:val="0"/>
                <w:szCs w:val="21"/>
              </w:rPr>
            </w:pPr>
            <w:r>
              <w:rPr>
                <w:color w:val="000000"/>
                <w:kern w:val="0"/>
                <w:szCs w:val="21"/>
              </w:rPr>
              <w:t>声明及承诺：</w:t>
            </w:r>
          </w:p>
          <w:p w14:paraId="04DEDCB0">
            <w:pPr>
              <w:widowControl/>
              <w:spacing w:before="93" w:beforeLines="30" w:after="93" w:afterLines="30" w:line="300" w:lineRule="exact"/>
              <w:jc w:val="left"/>
              <w:rPr>
                <w:color w:val="000000"/>
                <w:kern w:val="0"/>
                <w:szCs w:val="21"/>
              </w:rPr>
            </w:pPr>
            <w:r>
              <w:rPr>
                <w:color w:val="000000"/>
                <w:kern w:val="0"/>
                <w:szCs w:val="21"/>
              </w:rPr>
              <w:t>1．本申请书受本公司与</w:t>
            </w:r>
            <w:r>
              <w:rPr>
                <w:kern w:val="0"/>
                <w:szCs w:val="21"/>
              </w:rPr>
              <w:t>平安银行股份有限公司__________________（“</w:t>
            </w:r>
            <w:r>
              <w:rPr>
                <w:color w:val="000000"/>
                <w:kern w:val="0"/>
                <w:szCs w:val="21"/>
              </w:rPr>
              <w:t>融资经办行”）业已签署的《综合授信额度合同》（具体编号详见本申请书记载）的约束。</w:t>
            </w:r>
          </w:p>
          <w:p w14:paraId="77F3FF87">
            <w:pPr>
              <w:widowControl/>
              <w:spacing w:before="93" w:beforeLines="30" w:after="93" w:afterLines="30" w:line="300" w:lineRule="exact"/>
              <w:jc w:val="left"/>
              <w:rPr>
                <w:color w:val="000000"/>
                <w:kern w:val="0"/>
                <w:szCs w:val="21"/>
              </w:rPr>
            </w:pPr>
            <w:r>
              <w:rPr>
                <w:color w:val="000000"/>
                <w:kern w:val="0"/>
                <w:szCs w:val="21"/>
              </w:rPr>
              <w:t>2．若本申请书所涉</w:t>
            </w:r>
            <w:r>
              <w:rPr>
                <w:kern w:val="0"/>
                <w:szCs w:val="21"/>
              </w:rPr>
              <w:t>“</w:t>
            </w:r>
            <w:r>
              <w:rPr>
                <w:color w:val="000000"/>
                <w:kern w:val="0"/>
                <w:szCs w:val="21"/>
              </w:rPr>
              <w:t>出票日期”、</w:t>
            </w:r>
            <w:r>
              <w:rPr>
                <w:kern w:val="0"/>
                <w:szCs w:val="21"/>
              </w:rPr>
              <w:t>“</w:t>
            </w:r>
            <w:r>
              <w:rPr>
                <w:color w:val="000000"/>
                <w:kern w:val="0"/>
                <w:szCs w:val="21"/>
              </w:rPr>
              <w:t>汇票到期日”等相关要素与融资经办行最终正式承兑的商业汇票所显示/记载的相关信息不一致，则以融资经办行已承兑的商业汇票所记载要素为准。</w:t>
            </w:r>
          </w:p>
          <w:p w14:paraId="6F27B8AA">
            <w:pPr>
              <w:widowControl/>
              <w:spacing w:before="93" w:beforeLines="30" w:after="93" w:afterLines="30" w:line="300" w:lineRule="exact"/>
              <w:jc w:val="left"/>
              <w:rPr>
                <w:color w:val="000000"/>
                <w:kern w:val="0"/>
                <w:szCs w:val="21"/>
              </w:rPr>
            </w:pPr>
            <w:r>
              <w:rPr>
                <w:color w:val="000000"/>
                <w:kern w:val="0"/>
                <w:szCs w:val="21"/>
              </w:rPr>
              <w:t>3．本申请书记载的</w:t>
            </w:r>
            <w:r>
              <w:rPr>
                <w:kern w:val="0"/>
                <w:szCs w:val="21"/>
              </w:rPr>
              <w:t>“</w:t>
            </w:r>
            <w:r>
              <w:rPr>
                <w:color w:val="000000"/>
                <w:kern w:val="0"/>
                <w:szCs w:val="21"/>
              </w:rPr>
              <w:t>出票人账号”是本公司向融资经办行缴纳手续费及其他可能发生的费用所确定的付款账号；自本申请书提出时始，本公司在此不可撤销地授权融资经办行有权从该账号一次/分次足额地划拨本公司需要缴纳的手续费及其他可能发生的费用，本公司承诺不提出任何异议。</w:t>
            </w:r>
          </w:p>
          <w:p w14:paraId="137EDC81">
            <w:pPr>
              <w:widowControl/>
              <w:spacing w:before="93" w:beforeLines="30" w:after="93" w:afterLines="30" w:line="300" w:lineRule="exact"/>
              <w:jc w:val="left"/>
              <w:rPr>
                <w:color w:val="000000"/>
                <w:kern w:val="0"/>
                <w:szCs w:val="21"/>
              </w:rPr>
            </w:pPr>
            <w:r>
              <w:rPr>
                <w:color w:val="000000"/>
                <w:kern w:val="0"/>
                <w:szCs w:val="21"/>
              </w:rPr>
              <w:t>4．若本申请书获得融资经办行的同意/确认，本公司承诺将受本申请</w:t>
            </w:r>
            <w:r>
              <w:rPr>
                <w:kern w:val="0"/>
                <w:szCs w:val="21"/>
              </w:rPr>
              <w:t>“</w:t>
            </w:r>
            <w:r>
              <w:rPr>
                <w:color w:val="000000"/>
                <w:kern w:val="0"/>
                <w:szCs w:val="21"/>
              </w:rPr>
              <w:t>声明及承诺”的约束。本申请书是否获得通过，由融资经办行自主决定；即使本申请书未获得通过，本公司也无权要求融资经办行通过任何形式进行有关拒绝说明的回复。</w:t>
            </w:r>
          </w:p>
          <w:p w14:paraId="7A8FEF94">
            <w:pPr>
              <w:widowControl/>
              <w:spacing w:before="93" w:beforeLines="30" w:after="93" w:afterLines="30" w:line="300" w:lineRule="exact"/>
              <w:jc w:val="left"/>
              <w:rPr>
                <w:color w:val="000000"/>
                <w:kern w:val="0"/>
                <w:szCs w:val="21"/>
              </w:rPr>
            </w:pPr>
            <w:r>
              <w:rPr>
                <w:color w:val="000000"/>
                <w:kern w:val="0"/>
                <w:szCs w:val="21"/>
              </w:rPr>
              <w:t>5．本申请书可依据《中华人民共和国电子签名法》等法律以“书面”形式（特别提示：包括以数据电文的形式）流转、通知及确认，本公司及其他相关方（如适用）以书面形式（特别提示：包括以数据电文的形式）所进行的对拟申请事项的确认（或同意）依法具有该方有效签署的同等法律效力，对本公司（及该其他相关方，如适用）具有约束力。</w:t>
            </w:r>
          </w:p>
          <w:p w14:paraId="4922178C">
            <w:pPr>
              <w:widowControl/>
              <w:spacing w:before="93" w:beforeLines="30" w:after="93" w:afterLines="30" w:line="300" w:lineRule="exact"/>
              <w:jc w:val="left"/>
              <w:rPr>
                <w:color w:val="000000"/>
                <w:kern w:val="0"/>
                <w:szCs w:val="21"/>
              </w:rPr>
            </w:pPr>
            <w:r>
              <w:rPr>
                <w:color w:val="000000"/>
                <w:kern w:val="0"/>
                <w:szCs w:val="21"/>
              </w:rPr>
              <w:t>本公司在此确认：《自由票业务合同》项下有关线上签署的相关条款（视具体情形包括但不限于线上化特别约定条款、与线上化操作有关通知和/或送达条款等），对本公司及本申请书均具有约束力。</w:t>
            </w:r>
          </w:p>
        </w:tc>
      </w:tr>
    </w:tbl>
    <w:p w14:paraId="54F80CFC">
      <w:pPr>
        <w:spacing w:line="360" w:lineRule="exact"/>
        <w:rPr>
          <w:kern w:val="0"/>
          <w:szCs w:val="21"/>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NumType w:fmt="numberInDash" w:start="106"/>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国标宋体">
    <w:altName w:val="宋体"/>
    <w:panose1 w:val="02000500000000000000"/>
    <w:charset w:val="86"/>
    <w:family w:val="auto"/>
    <w:pitch w:val="default"/>
    <w:sig w:usb0="00000000" w:usb1="00000000" w:usb2="00000000" w:usb3="00000000" w:csb0="00060007" w:csb1="0000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6897DEB0">
        <w:pPr>
          <w:pStyle w:val="5"/>
          <w:jc w:val="right"/>
        </w:pPr>
        <w:r>
          <w:fldChar w:fldCharType="begin"/>
        </w:r>
        <w:r>
          <w:instrText xml:space="preserve">PAGE   \* MERGEFORMAT</w:instrText>
        </w:r>
        <w:r>
          <w:fldChar w:fldCharType="separate"/>
        </w:r>
        <w:r>
          <w:rPr>
            <w:lang w:val="zh-CN"/>
          </w:rPr>
          <w:t>-</w:t>
        </w:r>
        <w:r>
          <w:t xml:space="preserve"> 107 -</w:t>
        </w:r>
        <w:r>
          <w:fldChar w:fldCharType="end"/>
        </w:r>
      </w:p>
    </w:sdtContent>
  </w:sdt>
  <w:p w14:paraId="11697858">
    <w:pPr>
      <w:pStyle w:val="5"/>
      <w:jc w:val="center"/>
      <w:rPr>
        <w:b/>
        <w:sz w:val="15"/>
        <w:szCs w:val="15"/>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0634"/>
    </w:sdtPr>
    <w:sdtContent>
      <w:p w14:paraId="5333AE87">
        <w:pPr>
          <w:pStyle w:val="5"/>
        </w:pPr>
        <w:r>
          <w:fldChar w:fldCharType="begin"/>
        </w:r>
        <w:r>
          <w:instrText xml:space="preserve">PAGE   \* MERGEFORMAT</w:instrText>
        </w:r>
        <w:r>
          <w:fldChar w:fldCharType="separate"/>
        </w:r>
        <w:r>
          <w:rPr>
            <w:lang w:val="zh-CN"/>
          </w:rPr>
          <w:t>-</w:t>
        </w:r>
        <w:r>
          <w:t xml:space="preserve"> 106 -</w:t>
        </w:r>
        <w:r>
          <w:fldChar w:fldCharType="end"/>
        </w:r>
      </w:p>
    </w:sdtContent>
  </w:sdt>
  <w:p w14:paraId="29BA17D3">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41140513"/>
    </w:sdtPr>
    <w:sdtContent>
      <w:p w14:paraId="528B8D16">
        <w:pPr>
          <w:pStyle w:val="5"/>
        </w:pPr>
        <w:r>
          <w:fldChar w:fldCharType="begin"/>
        </w:r>
        <w:r>
          <w:instrText xml:space="preserve">PAGE   \* MERGEFORMAT</w:instrText>
        </w:r>
        <w:r>
          <w:fldChar w:fldCharType="separate"/>
        </w:r>
        <w:r>
          <w:rPr>
            <w:lang w:val="zh-CN"/>
          </w:rPr>
          <w:t>-</w:t>
        </w:r>
        <w:r>
          <w:t xml:space="preserve"> 106 -</w:t>
        </w:r>
        <w:r>
          <w:fldChar w:fldCharType="end"/>
        </w:r>
      </w:p>
    </w:sdtContent>
  </w:sdt>
  <w:p w14:paraId="68D821B0">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7B9F7C">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18287">
    <w:pPr>
      <w:pStyle w:val="6"/>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0B5ABE">
    <w:pPr>
      <w:pStyle w:val="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30704"/>
    <w:multiLevelType w:val="multilevel"/>
    <w:tmpl w:val="00F30704"/>
    <w:lvl w:ilvl="0" w:tentative="0">
      <w:start w:val="4"/>
      <w:numFmt w:val="decimal"/>
      <w:lvlText w:val="%1"/>
      <w:lvlJc w:val="left"/>
      <w:pPr>
        <w:ind w:left="360" w:hanging="360"/>
      </w:pPr>
    </w:lvl>
    <w:lvl w:ilvl="1" w:tentative="0">
      <w:start w:val="1"/>
      <w:numFmt w:val="decimal"/>
      <w:lvlText w:val="9.%2"/>
      <w:lvlJc w:val="left"/>
      <w:pPr>
        <w:ind w:left="360" w:hanging="360"/>
      </w:pPr>
      <w:rPr>
        <w:rFonts w:hint="default" w:ascii="Times New Roman" w:hAnsi="Times New Roman" w:cs="Times New Roman"/>
        <w:b w:val="0"/>
        <w:bCs/>
      </w:rPr>
    </w:lvl>
    <w:lvl w:ilvl="2" w:tentative="0">
      <w:start w:val="1"/>
      <w:numFmt w:val="decimal"/>
      <w:lvlText w:val="%1.%2.%3"/>
      <w:lvlJc w:val="left"/>
      <w:pPr>
        <w:ind w:left="720" w:hanging="720"/>
      </w:pPr>
    </w:lvl>
    <w:lvl w:ilvl="3" w:tentative="0">
      <w:start w:val="1"/>
      <w:numFmt w:val="decimal"/>
      <w:lvlText w:val="%1.%2.%3.%4"/>
      <w:lvlJc w:val="left"/>
      <w:pPr>
        <w:ind w:left="720" w:hanging="720"/>
      </w:pPr>
    </w:lvl>
    <w:lvl w:ilvl="4" w:tentative="0">
      <w:start w:val="1"/>
      <w:numFmt w:val="decimal"/>
      <w:lvlText w:val="%1.%2.%3.%4.%5"/>
      <w:lvlJc w:val="left"/>
      <w:pPr>
        <w:ind w:left="1080" w:hanging="1080"/>
      </w:pPr>
    </w:lvl>
    <w:lvl w:ilvl="5" w:tentative="0">
      <w:start w:val="1"/>
      <w:numFmt w:val="decimal"/>
      <w:lvlText w:val="%1.%2.%3.%4.%5.%6"/>
      <w:lvlJc w:val="left"/>
      <w:pPr>
        <w:ind w:left="1080" w:hanging="1080"/>
      </w:pPr>
    </w:lvl>
    <w:lvl w:ilvl="6" w:tentative="0">
      <w:start w:val="1"/>
      <w:numFmt w:val="decimal"/>
      <w:lvlText w:val="%1.%2.%3.%4.%5.%6.%7"/>
      <w:lvlJc w:val="left"/>
      <w:pPr>
        <w:ind w:left="1080" w:hanging="1080"/>
      </w:pPr>
    </w:lvl>
    <w:lvl w:ilvl="7" w:tentative="0">
      <w:start w:val="1"/>
      <w:numFmt w:val="decimal"/>
      <w:lvlText w:val="%1.%2.%3.%4.%5.%6.%7.%8"/>
      <w:lvlJc w:val="left"/>
      <w:pPr>
        <w:ind w:left="1440" w:hanging="1440"/>
      </w:pPr>
    </w:lvl>
    <w:lvl w:ilvl="8" w:tentative="0">
      <w:start w:val="1"/>
      <w:numFmt w:val="decimal"/>
      <w:lvlText w:val="%1.%2.%3.%4.%5.%6.%7.%8.%9"/>
      <w:lvlJc w:val="left"/>
      <w:pPr>
        <w:ind w:left="1440" w:hanging="1440"/>
      </w:pPr>
    </w:lvl>
  </w:abstractNum>
  <w:abstractNum w:abstractNumId="1">
    <w:nsid w:val="02EB317C"/>
    <w:multiLevelType w:val="multilevel"/>
    <w:tmpl w:val="02EB317C"/>
    <w:lvl w:ilvl="0" w:tentative="0">
      <w:start w:val="1"/>
      <w:numFmt w:val="decimal"/>
      <w:lvlText w:val="%1"/>
      <w:lvlJc w:val="left"/>
      <w:pPr>
        <w:ind w:left="528" w:hanging="528"/>
      </w:pPr>
    </w:lvl>
    <w:lvl w:ilvl="1" w:tentative="0">
      <w:start w:val="1"/>
      <w:numFmt w:val="decimal"/>
      <w:lvlText w:val="3.%2"/>
      <w:lvlJc w:val="left"/>
      <w:pPr>
        <w:ind w:left="528" w:hanging="528"/>
      </w:pPr>
      <w:rPr>
        <w:rFonts w:hint="default" w:ascii="Times New Roman" w:hAnsi="Times New Roman" w:cs="Times New Roman"/>
        <w:b w:val="0"/>
        <w:bCs/>
      </w:rPr>
    </w:lvl>
    <w:lvl w:ilvl="2" w:tentative="0">
      <w:start w:val="1"/>
      <w:numFmt w:val="decimal"/>
      <w:lvlText w:val="%1.%2.%3"/>
      <w:lvlJc w:val="left"/>
      <w:pPr>
        <w:ind w:left="720" w:hanging="720"/>
      </w:pPr>
    </w:lvl>
    <w:lvl w:ilvl="3" w:tentative="0">
      <w:start w:val="1"/>
      <w:numFmt w:val="decimal"/>
      <w:lvlText w:val="%1.%2.%3.%4"/>
      <w:lvlJc w:val="left"/>
      <w:pPr>
        <w:ind w:left="720" w:hanging="720"/>
      </w:pPr>
    </w:lvl>
    <w:lvl w:ilvl="4" w:tentative="0">
      <w:start w:val="1"/>
      <w:numFmt w:val="decimal"/>
      <w:lvlText w:val="%1.%2.%3.%4.%5"/>
      <w:lvlJc w:val="left"/>
      <w:pPr>
        <w:ind w:left="1080" w:hanging="1080"/>
      </w:pPr>
    </w:lvl>
    <w:lvl w:ilvl="5" w:tentative="0">
      <w:start w:val="1"/>
      <w:numFmt w:val="decimal"/>
      <w:lvlText w:val="%1.%2.%3.%4.%5.%6"/>
      <w:lvlJc w:val="left"/>
      <w:pPr>
        <w:ind w:left="1080" w:hanging="1080"/>
      </w:pPr>
    </w:lvl>
    <w:lvl w:ilvl="6" w:tentative="0">
      <w:start w:val="1"/>
      <w:numFmt w:val="decimal"/>
      <w:lvlText w:val="%1.%2.%3.%4.%5.%6.%7"/>
      <w:lvlJc w:val="left"/>
      <w:pPr>
        <w:ind w:left="1080" w:hanging="1080"/>
      </w:pPr>
    </w:lvl>
    <w:lvl w:ilvl="7" w:tentative="0">
      <w:start w:val="1"/>
      <w:numFmt w:val="decimal"/>
      <w:lvlText w:val="%1.%2.%3.%4.%5.%6.%7.%8"/>
      <w:lvlJc w:val="left"/>
      <w:pPr>
        <w:ind w:left="1440" w:hanging="1440"/>
      </w:pPr>
    </w:lvl>
    <w:lvl w:ilvl="8" w:tentative="0">
      <w:start w:val="1"/>
      <w:numFmt w:val="decimal"/>
      <w:lvlText w:val="%1.%2.%3.%4.%5.%6.%7.%8.%9"/>
      <w:lvlJc w:val="left"/>
      <w:pPr>
        <w:ind w:left="1440" w:hanging="1440"/>
      </w:pPr>
    </w:lvl>
  </w:abstractNum>
  <w:abstractNum w:abstractNumId="2">
    <w:nsid w:val="0C622C8E"/>
    <w:multiLevelType w:val="multilevel"/>
    <w:tmpl w:val="0C622C8E"/>
    <w:lvl w:ilvl="0" w:tentative="0">
      <w:start w:val="0"/>
      <w:numFmt w:val="bullet"/>
      <w:lvlText w:val="□"/>
      <w:lvlJc w:val="left"/>
      <w:pPr>
        <w:ind w:left="780" w:hanging="360"/>
      </w:pPr>
      <w:rPr>
        <w:rFonts w:hint="eastAsia" w:ascii="宋体" w:hAnsi="宋体" w:eastAsia="宋体" w:cs="Times New Roman"/>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
    <w:nsid w:val="10BB0E62"/>
    <w:multiLevelType w:val="multilevel"/>
    <w:tmpl w:val="10BB0E62"/>
    <w:lvl w:ilvl="0" w:tentative="0">
      <w:start w:val="1"/>
      <w:numFmt w:val="decimal"/>
      <w:lvlText w:val="%1"/>
      <w:lvlJc w:val="left"/>
      <w:pPr>
        <w:ind w:left="531" w:hanging="531"/>
      </w:pPr>
      <w:rPr>
        <w:rFonts w:hint="default"/>
      </w:rPr>
    </w:lvl>
    <w:lvl w:ilvl="1" w:tentative="0">
      <w:start w:val="1"/>
      <w:numFmt w:val="decimal"/>
      <w:lvlText w:val="6.%2"/>
      <w:lvlJc w:val="left"/>
      <w:pPr>
        <w:ind w:left="531" w:hanging="531"/>
      </w:pPr>
      <w:rPr>
        <w:rFonts w:hint="default" w:ascii="Times New Roman" w:hAnsi="Times New Roman" w:cs="Times New Roman"/>
        <w:b w:val="0"/>
      </w:rPr>
    </w:lvl>
    <w:lvl w:ilvl="2" w:tentative="0">
      <w:start w:val="1"/>
      <w:numFmt w:val="decimal"/>
      <w:lvlText w:val="%1.%2.%3"/>
      <w:lvlJc w:val="left"/>
      <w:pPr>
        <w:ind w:left="720" w:hanging="720"/>
      </w:pPr>
      <w:rPr>
        <w:rFonts w:hint="default" w:ascii="Times New Roman" w:hAnsi="Times New Roman" w:cs="Times New Roman"/>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4">
    <w:nsid w:val="12AD2895"/>
    <w:multiLevelType w:val="multilevel"/>
    <w:tmpl w:val="12AD2895"/>
    <w:lvl w:ilvl="0" w:tentative="0">
      <w:start w:val="1"/>
      <w:numFmt w:val="decimal"/>
      <w:lvlText w:val="%1"/>
      <w:lvlJc w:val="left"/>
      <w:pPr>
        <w:ind w:left="531" w:hanging="531"/>
      </w:pPr>
      <w:rPr>
        <w:rFonts w:hint="default"/>
      </w:rPr>
    </w:lvl>
    <w:lvl w:ilvl="1" w:tentative="0">
      <w:start w:val="1"/>
      <w:numFmt w:val="decimal"/>
      <w:lvlText w:val="8.%2"/>
      <w:lvlJc w:val="left"/>
      <w:pPr>
        <w:ind w:left="531" w:hanging="531"/>
      </w:pPr>
      <w:rPr>
        <w:rFonts w:hint="default" w:ascii="Times New Roman" w:hAnsi="Times New Roman" w:cs="Times New Roman"/>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5">
    <w:nsid w:val="252D64E1"/>
    <w:multiLevelType w:val="multilevel"/>
    <w:tmpl w:val="252D64E1"/>
    <w:lvl w:ilvl="0" w:tentative="0">
      <w:start w:val="1"/>
      <w:numFmt w:val="decimal"/>
      <w:lvlText w:val="（%1）"/>
      <w:lvlJc w:val="left"/>
      <w:pPr>
        <w:ind w:left="891" w:hanging="360"/>
      </w:pPr>
      <w:rPr>
        <w:rFonts w:hint="default" w:ascii="Times New Roman" w:hAnsi="Times New Roman" w:cs="Times New Roman"/>
        <w:b w:val="0"/>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6">
    <w:nsid w:val="25416517"/>
    <w:multiLevelType w:val="multilevel"/>
    <w:tmpl w:val="25416517"/>
    <w:lvl w:ilvl="0" w:tentative="0">
      <w:start w:val="1"/>
      <w:numFmt w:val="decimal"/>
      <w:lvlText w:val="（%1）"/>
      <w:lvlJc w:val="left"/>
      <w:pPr>
        <w:ind w:left="1245" w:hanging="720"/>
      </w:pPr>
      <w:rPr>
        <w:rFonts w:hint="default" w:ascii="Times New Roman" w:hAnsi="Times New Roman" w:cs="Times New Roman"/>
        <w:b w:val="0"/>
        <w:bCs/>
      </w:rPr>
    </w:lvl>
    <w:lvl w:ilvl="1" w:tentative="0">
      <w:start w:val="1"/>
      <w:numFmt w:val="lowerLetter"/>
      <w:lvlText w:val="%2)"/>
      <w:lvlJc w:val="left"/>
      <w:pPr>
        <w:ind w:left="1365" w:hanging="420"/>
      </w:pPr>
    </w:lvl>
    <w:lvl w:ilvl="2" w:tentative="0">
      <w:start w:val="1"/>
      <w:numFmt w:val="lowerRoman"/>
      <w:lvlText w:val="%3."/>
      <w:lvlJc w:val="right"/>
      <w:pPr>
        <w:ind w:left="1785" w:hanging="420"/>
      </w:pPr>
    </w:lvl>
    <w:lvl w:ilvl="3" w:tentative="0">
      <w:start w:val="1"/>
      <w:numFmt w:val="decimal"/>
      <w:lvlText w:val="%4."/>
      <w:lvlJc w:val="left"/>
      <w:pPr>
        <w:ind w:left="2205" w:hanging="420"/>
      </w:pPr>
    </w:lvl>
    <w:lvl w:ilvl="4" w:tentative="0">
      <w:start w:val="1"/>
      <w:numFmt w:val="lowerLetter"/>
      <w:lvlText w:val="%5)"/>
      <w:lvlJc w:val="left"/>
      <w:pPr>
        <w:ind w:left="2625" w:hanging="420"/>
      </w:pPr>
    </w:lvl>
    <w:lvl w:ilvl="5" w:tentative="0">
      <w:start w:val="1"/>
      <w:numFmt w:val="lowerRoman"/>
      <w:lvlText w:val="%6."/>
      <w:lvlJc w:val="right"/>
      <w:pPr>
        <w:ind w:left="3045" w:hanging="420"/>
      </w:pPr>
    </w:lvl>
    <w:lvl w:ilvl="6" w:tentative="0">
      <w:start w:val="1"/>
      <w:numFmt w:val="decimal"/>
      <w:lvlText w:val="%7."/>
      <w:lvlJc w:val="left"/>
      <w:pPr>
        <w:ind w:left="3465" w:hanging="420"/>
      </w:pPr>
    </w:lvl>
    <w:lvl w:ilvl="7" w:tentative="0">
      <w:start w:val="1"/>
      <w:numFmt w:val="lowerLetter"/>
      <w:lvlText w:val="%8)"/>
      <w:lvlJc w:val="left"/>
      <w:pPr>
        <w:ind w:left="3885" w:hanging="420"/>
      </w:pPr>
    </w:lvl>
    <w:lvl w:ilvl="8" w:tentative="0">
      <w:start w:val="1"/>
      <w:numFmt w:val="lowerRoman"/>
      <w:lvlText w:val="%9."/>
      <w:lvlJc w:val="right"/>
      <w:pPr>
        <w:ind w:left="4305" w:hanging="420"/>
      </w:pPr>
    </w:lvl>
  </w:abstractNum>
  <w:abstractNum w:abstractNumId="7">
    <w:nsid w:val="2F9D5A9B"/>
    <w:multiLevelType w:val="multilevel"/>
    <w:tmpl w:val="2F9D5A9B"/>
    <w:lvl w:ilvl="0" w:tentative="0">
      <w:start w:val="1"/>
      <w:numFmt w:val="decimal"/>
      <w:lvlText w:val="（%1）"/>
      <w:lvlJc w:val="left"/>
      <w:pPr>
        <w:ind w:left="1245" w:hanging="720"/>
      </w:pPr>
      <w:rPr>
        <w:rFonts w:hint="default" w:ascii="Times New Roman" w:hAnsi="Times New Roman" w:cs="Times New Roman"/>
        <w:b w:val="0"/>
        <w:bCs/>
      </w:rPr>
    </w:lvl>
    <w:lvl w:ilvl="1" w:tentative="0">
      <w:start w:val="1"/>
      <w:numFmt w:val="lowerLetter"/>
      <w:lvlText w:val="%2)"/>
      <w:lvlJc w:val="left"/>
      <w:pPr>
        <w:ind w:left="1365" w:hanging="420"/>
      </w:pPr>
    </w:lvl>
    <w:lvl w:ilvl="2" w:tentative="0">
      <w:start w:val="1"/>
      <w:numFmt w:val="lowerRoman"/>
      <w:lvlText w:val="%3."/>
      <w:lvlJc w:val="right"/>
      <w:pPr>
        <w:ind w:left="1785" w:hanging="420"/>
      </w:pPr>
    </w:lvl>
    <w:lvl w:ilvl="3" w:tentative="0">
      <w:start w:val="1"/>
      <w:numFmt w:val="decimal"/>
      <w:lvlText w:val="%4."/>
      <w:lvlJc w:val="left"/>
      <w:pPr>
        <w:ind w:left="2205" w:hanging="420"/>
      </w:pPr>
    </w:lvl>
    <w:lvl w:ilvl="4" w:tentative="0">
      <w:start w:val="1"/>
      <w:numFmt w:val="lowerLetter"/>
      <w:lvlText w:val="%5)"/>
      <w:lvlJc w:val="left"/>
      <w:pPr>
        <w:ind w:left="2625" w:hanging="420"/>
      </w:pPr>
    </w:lvl>
    <w:lvl w:ilvl="5" w:tentative="0">
      <w:start w:val="1"/>
      <w:numFmt w:val="lowerRoman"/>
      <w:lvlText w:val="%6."/>
      <w:lvlJc w:val="right"/>
      <w:pPr>
        <w:ind w:left="3045" w:hanging="420"/>
      </w:pPr>
    </w:lvl>
    <w:lvl w:ilvl="6" w:tentative="0">
      <w:start w:val="1"/>
      <w:numFmt w:val="decimal"/>
      <w:lvlText w:val="%7."/>
      <w:lvlJc w:val="left"/>
      <w:pPr>
        <w:ind w:left="3465" w:hanging="420"/>
      </w:pPr>
    </w:lvl>
    <w:lvl w:ilvl="7" w:tentative="0">
      <w:start w:val="1"/>
      <w:numFmt w:val="lowerLetter"/>
      <w:lvlText w:val="%8)"/>
      <w:lvlJc w:val="left"/>
      <w:pPr>
        <w:ind w:left="3885" w:hanging="420"/>
      </w:pPr>
    </w:lvl>
    <w:lvl w:ilvl="8" w:tentative="0">
      <w:start w:val="1"/>
      <w:numFmt w:val="lowerRoman"/>
      <w:lvlText w:val="%9."/>
      <w:lvlJc w:val="right"/>
      <w:pPr>
        <w:ind w:left="4305" w:hanging="420"/>
      </w:pPr>
    </w:lvl>
  </w:abstractNum>
  <w:abstractNum w:abstractNumId="8">
    <w:nsid w:val="34B70BAE"/>
    <w:multiLevelType w:val="multilevel"/>
    <w:tmpl w:val="34B70BAE"/>
    <w:lvl w:ilvl="0" w:tentative="0">
      <w:start w:val="1"/>
      <w:numFmt w:val="decimal"/>
      <w:lvlText w:val="%1"/>
      <w:lvlJc w:val="left"/>
      <w:pPr>
        <w:ind w:left="531" w:hanging="531"/>
      </w:pPr>
      <w:rPr>
        <w:rFonts w:hint="default"/>
      </w:rPr>
    </w:lvl>
    <w:lvl w:ilvl="1" w:tentative="0">
      <w:start w:val="1"/>
      <w:numFmt w:val="decimal"/>
      <w:lvlText w:val="12.%2"/>
      <w:lvlJc w:val="left"/>
      <w:pPr>
        <w:ind w:left="531" w:hanging="531"/>
      </w:pPr>
      <w:rPr>
        <w:rFonts w:hint="default" w:ascii="Times New Roman" w:hAnsi="Times New Roman" w:cs="Times New Roman"/>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9">
    <w:nsid w:val="3560623F"/>
    <w:multiLevelType w:val="multilevel"/>
    <w:tmpl w:val="3560623F"/>
    <w:lvl w:ilvl="0" w:tentative="0">
      <w:start w:val="1"/>
      <w:numFmt w:val="decimal"/>
      <w:lvlText w:val="%1"/>
      <w:lvlJc w:val="left"/>
      <w:pPr>
        <w:ind w:left="528" w:hanging="528"/>
      </w:pPr>
    </w:lvl>
    <w:lvl w:ilvl="1" w:tentative="0">
      <w:start w:val="1"/>
      <w:numFmt w:val="decimal"/>
      <w:lvlText w:val="2.%2"/>
      <w:lvlJc w:val="left"/>
      <w:pPr>
        <w:ind w:left="528" w:hanging="528"/>
      </w:pPr>
      <w:rPr>
        <w:rFonts w:hint="default" w:ascii="Times New Roman" w:hAnsi="Times New Roman" w:cs="Times New Roman"/>
      </w:rPr>
    </w:lvl>
    <w:lvl w:ilvl="2" w:tentative="0">
      <w:start w:val="1"/>
      <w:numFmt w:val="decimal"/>
      <w:lvlText w:val="%1.%2.%3"/>
      <w:lvlJc w:val="left"/>
      <w:pPr>
        <w:ind w:left="720" w:hanging="720"/>
      </w:pPr>
    </w:lvl>
    <w:lvl w:ilvl="3" w:tentative="0">
      <w:start w:val="1"/>
      <w:numFmt w:val="decimal"/>
      <w:lvlText w:val="%1.%2.%3.%4"/>
      <w:lvlJc w:val="left"/>
      <w:pPr>
        <w:ind w:left="720" w:hanging="720"/>
      </w:pPr>
    </w:lvl>
    <w:lvl w:ilvl="4" w:tentative="0">
      <w:start w:val="1"/>
      <w:numFmt w:val="decimal"/>
      <w:lvlText w:val="%1.%2.%3.%4.%5"/>
      <w:lvlJc w:val="left"/>
      <w:pPr>
        <w:ind w:left="1080" w:hanging="1080"/>
      </w:pPr>
    </w:lvl>
    <w:lvl w:ilvl="5" w:tentative="0">
      <w:start w:val="1"/>
      <w:numFmt w:val="decimal"/>
      <w:lvlText w:val="%1.%2.%3.%4.%5.%6"/>
      <w:lvlJc w:val="left"/>
      <w:pPr>
        <w:ind w:left="1080" w:hanging="1080"/>
      </w:pPr>
    </w:lvl>
    <w:lvl w:ilvl="6" w:tentative="0">
      <w:start w:val="1"/>
      <w:numFmt w:val="decimal"/>
      <w:lvlText w:val="%1.%2.%3.%4.%5.%6.%7"/>
      <w:lvlJc w:val="left"/>
      <w:pPr>
        <w:ind w:left="1080" w:hanging="1080"/>
      </w:pPr>
    </w:lvl>
    <w:lvl w:ilvl="7" w:tentative="0">
      <w:start w:val="1"/>
      <w:numFmt w:val="decimal"/>
      <w:lvlText w:val="%1.%2.%3.%4.%5.%6.%7.%8"/>
      <w:lvlJc w:val="left"/>
      <w:pPr>
        <w:ind w:left="1440" w:hanging="1440"/>
      </w:pPr>
    </w:lvl>
    <w:lvl w:ilvl="8" w:tentative="0">
      <w:start w:val="1"/>
      <w:numFmt w:val="decimal"/>
      <w:lvlText w:val="%1.%2.%3.%4.%5.%6.%7.%8.%9"/>
      <w:lvlJc w:val="left"/>
      <w:pPr>
        <w:ind w:left="1440" w:hanging="1440"/>
      </w:pPr>
    </w:lvl>
  </w:abstractNum>
  <w:abstractNum w:abstractNumId="10">
    <w:nsid w:val="36435764"/>
    <w:multiLevelType w:val="multilevel"/>
    <w:tmpl w:val="36435764"/>
    <w:lvl w:ilvl="0" w:tentative="0">
      <w:start w:val="1"/>
      <w:numFmt w:val="decimal"/>
      <w:lvlText w:val="（%1）"/>
      <w:lvlJc w:val="left"/>
      <w:pPr>
        <w:ind w:left="1245" w:hanging="720"/>
      </w:pPr>
      <w:rPr>
        <w:rFonts w:hint="default" w:ascii="Times New Roman" w:hAnsi="Times New Roman" w:cs="Times New Roman"/>
        <w:b w:val="0"/>
        <w:bCs/>
      </w:rPr>
    </w:lvl>
    <w:lvl w:ilvl="1" w:tentative="0">
      <w:start w:val="1"/>
      <w:numFmt w:val="lowerLetter"/>
      <w:lvlText w:val="%2)"/>
      <w:lvlJc w:val="left"/>
      <w:pPr>
        <w:ind w:left="1365" w:hanging="420"/>
      </w:pPr>
    </w:lvl>
    <w:lvl w:ilvl="2" w:tentative="0">
      <w:start w:val="1"/>
      <w:numFmt w:val="lowerRoman"/>
      <w:lvlText w:val="%3."/>
      <w:lvlJc w:val="right"/>
      <w:pPr>
        <w:ind w:left="1785" w:hanging="420"/>
      </w:pPr>
    </w:lvl>
    <w:lvl w:ilvl="3" w:tentative="0">
      <w:start w:val="1"/>
      <w:numFmt w:val="decimal"/>
      <w:lvlText w:val="%4."/>
      <w:lvlJc w:val="left"/>
      <w:pPr>
        <w:ind w:left="2205" w:hanging="420"/>
      </w:pPr>
    </w:lvl>
    <w:lvl w:ilvl="4" w:tentative="0">
      <w:start w:val="1"/>
      <w:numFmt w:val="lowerLetter"/>
      <w:lvlText w:val="%5)"/>
      <w:lvlJc w:val="left"/>
      <w:pPr>
        <w:ind w:left="2625" w:hanging="420"/>
      </w:pPr>
    </w:lvl>
    <w:lvl w:ilvl="5" w:tentative="0">
      <w:start w:val="1"/>
      <w:numFmt w:val="lowerRoman"/>
      <w:lvlText w:val="%6."/>
      <w:lvlJc w:val="right"/>
      <w:pPr>
        <w:ind w:left="3045" w:hanging="420"/>
      </w:pPr>
    </w:lvl>
    <w:lvl w:ilvl="6" w:tentative="0">
      <w:start w:val="1"/>
      <w:numFmt w:val="decimal"/>
      <w:lvlText w:val="%7."/>
      <w:lvlJc w:val="left"/>
      <w:pPr>
        <w:ind w:left="3465" w:hanging="420"/>
      </w:pPr>
    </w:lvl>
    <w:lvl w:ilvl="7" w:tentative="0">
      <w:start w:val="1"/>
      <w:numFmt w:val="lowerLetter"/>
      <w:lvlText w:val="%8)"/>
      <w:lvlJc w:val="left"/>
      <w:pPr>
        <w:ind w:left="3885" w:hanging="420"/>
      </w:pPr>
    </w:lvl>
    <w:lvl w:ilvl="8" w:tentative="0">
      <w:start w:val="1"/>
      <w:numFmt w:val="lowerRoman"/>
      <w:lvlText w:val="%9."/>
      <w:lvlJc w:val="right"/>
      <w:pPr>
        <w:ind w:left="4305" w:hanging="420"/>
      </w:pPr>
    </w:lvl>
  </w:abstractNum>
  <w:abstractNum w:abstractNumId="11">
    <w:nsid w:val="455505B7"/>
    <w:multiLevelType w:val="multilevel"/>
    <w:tmpl w:val="455505B7"/>
    <w:lvl w:ilvl="0" w:tentative="0">
      <w:start w:val="1"/>
      <w:numFmt w:val="japaneseCounting"/>
      <w:lvlText w:val="第%1条"/>
      <w:lvlJc w:val="left"/>
      <w:pPr>
        <w:ind w:left="840" w:hanging="840"/>
      </w:pPr>
      <w:rPr>
        <w:b/>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52A71F5C"/>
    <w:multiLevelType w:val="multilevel"/>
    <w:tmpl w:val="52A71F5C"/>
    <w:lvl w:ilvl="0" w:tentative="0">
      <w:start w:val="1"/>
      <w:numFmt w:val="decimal"/>
      <w:lvlText w:val="%1"/>
      <w:lvlJc w:val="left"/>
      <w:pPr>
        <w:ind w:left="531" w:hanging="531"/>
      </w:pPr>
      <w:rPr>
        <w:rFonts w:hint="default"/>
      </w:rPr>
    </w:lvl>
    <w:lvl w:ilvl="1" w:tentative="0">
      <w:start w:val="1"/>
      <w:numFmt w:val="decimal"/>
      <w:lvlText w:val="10.%2"/>
      <w:lvlJc w:val="left"/>
      <w:pPr>
        <w:ind w:left="531" w:hanging="531"/>
      </w:pPr>
      <w:rPr>
        <w:rFonts w:hint="default" w:ascii="Times New Roman" w:hAnsi="Times New Roman" w:cs="Times New Roman"/>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3">
    <w:nsid w:val="5E8A1FDF"/>
    <w:multiLevelType w:val="multilevel"/>
    <w:tmpl w:val="5E8A1FDF"/>
    <w:lvl w:ilvl="0" w:tentative="0">
      <w:start w:val="4"/>
      <w:numFmt w:val="decimal"/>
      <w:lvlText w:val="%1"/>
      <w:lvlJc w:val="left"/>
      <w:pPr>
        <w:ind w:left="360" w:hanging="360"/>
      </w:pPr>
    </w:lvl>
    <w:lvl w:ilvl="1" w:tentative="0">
      <w:start w:val="1"/>
      <w:numFmt w:val="decimal"/>
      <w:lvlText w:val="9.1.%2"/>
      <w:lvlJc w:val="left"/>
      <w:pPr>
        <w:ind w:left="360" w:hanging="360"/>
      </w:pPr>
      <w:rPr>
        <w:rFonts w:hint="default" w:ascii="Times New Roman" w:hAnsi="Times New Roman" w:cs="Times New Roman"/>
        <w:b w:val="0"/>
        <w:bCs/>
      </w:rPr>
    </w:lvl>
    <w:lvl w:ilvl="2" w:tentative="0">
      <w:start w:val="1"/>
      <w:numFmt w:val="decimal"/>
      <w:lvlText w:val="%1.%2.%3"/>
      <w:lvlJc w:val="left"/>
      <w:pPr>
        <w:ind w:left="720" w:hanging="720"/>
      </w:pPr>
    </w:lvl>
    <w:lvl w:ilvl="3" w:tentative="0">
      <w:start w:val="1"/>
      <w:numFmt w:val="decimal"/>
      <w:lvlText w:val="%1.%2.%3.%4"/>
      <w:lvlJc w:val="left"/>
      <w:pPr>
        <w:ind w:left="720" w:hanging="720"/>
      </w:pPr>
    </w:lvl>
    <w:lvl w:ilvl="4" w:tentative="0">
      <w:start w:val="1"/>
      <w:numFmt w:val="decimal"/>
      <w:lvlText w:val="%1.%2.%3.%4.%5"/>
      <w:lvlJc w:val="left"/>
      <w:pPr>
        <w:ind w:left="1080" w:hanging="1080"/>
      </w:pPr>
    </w:lvl>
    <w:lvl w:ilvl="5" w:tentative="0">
      <w:start w:val="1"/>
      <w:numFmt w:val="decimal"/>
      <w:lvlText w:val="%1.%2.%3.%4.%5.%6"/>
      <w:lvlJc w:val="left"/>
      <w:pPr>
        <w:ind w:left="1080" w:hanging="1080"/>
      </w:pPr>
    </w:lvl>
    <w:lvl w:ilvl="6" w:tentative="0">
      <w:start w:val="1"/>
      <w:numFmt w:val="decimal"/>
      <w:lvlText w:val="%1.%2.%3.%4.%5.%6.%7"/>
      <w:lvlJc w:val="left"/>
      <w:pPr>
        <w:ind w:left="1080" w:hanging="1080"/>
      </w:pPr>
    </w:lvl>
    <w:lvl w:ilvl="7" w:tentative="0">
      <w:start w:val="1"/>
      <w:numFmt w:val="decimal"/>
      <w:lvlText w:val="%1.%2.%3.%4.%5.%6.%7.%8"/>
      <w:lvlJc w:val="left"/>
      <w:pPr>
        <w:ind w:left="1440" w:hanging="1440"/>
      </w:pPr>
    </w:lvl>
    <w:lvl w:ilvl="8" w:tentative="0">
      <w:start w:val="1"/>
      <w:numFmt w:val="decimal"/>
      <w:lvlText w:val="%1.%2.%3.%4.%5.%6.%7.%8.%9"/>
      <w:lvlJc w:val="left"/>
      <w:pPr>
        <w:ind w:left="1440" w:hanging="1440"/>
      </w:pPr>
    </w:lvl>
  </w:abstractNum>
  <w:abstractNum w:abstractNumId="14">
    <w:nsid w:val="61CF176B"/>
    <w:multiLevelType w:val="multilevel"/>
    <w:tmpl w:val="61CF176B"/>
    <w:lvl w:ilvl="0" w:tentative="0">
      <w:start w:val="1"/>
      <w:numFmt w:val="decimal"/>
      <w:lvlText w:val="（%1）"/>
      <w:lvlJc w:val="left"/>
      <w:pPr>
        <w:ind w:left="891" w:hanging="360"/>
      </w:pPr>
      <w:rPr>
        <w:rFonts w:hint="default" w:ascii="Times New Roman" w:hAnsi="Times New Roman" w:cs="Times New Roman"/>
        <w:b w:val="0"/>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15">
    <w:nsid w:val="623B2A12"/>
    <w:multiLevelType w:val="multilevel"/>
    <w:tmpl w:val="623B2A12"/>
    <w:lvl w:ilvl="0" w:tentative="0">
      <w:start w:val="1"/>
      <w:numFmt w:val="decimal"/>
      <w:lvlText w:val="%1"/>
      <w:lvlJc w:val="left"/>
      <w:pPr>
        <w:ind w:left="531" w:hanging="531"/>
      </w:pPr>
      <w:rPr>
        <w:rFonts w:hint="default"/>
      </w:rPr>
    </w:lvl>
    <w:lvl w:ilvl="1" w:tentative="0">
      <w:start w:val="1"/>
      <w:numFmt w:val="decimal"/>
      <w:lvlText w:val="5.%2"/>
      <w:lvlJc w:val="left"/>
      <w:pPr>
        <w:ind w:left="531" w:hanging="531"/>
      </w:pPr>
      <w:rPr>
        <w:rFonts w:hint="default" w:ascii="Times New Roman" w:hAnsi="Times New Roman" w:cs="Times New Roman"/>
        <w:b w:val="0"/>
      </w:rPr>
    </w:lvl>
    <w:lvl w:ilvl="2" w:tentative="0">
      <w:start w:val="1"/>
      <w:numFmt w:val="decimal"/>
      <w:lvlText w:val="%1.%2.%3"/>
      <w:lvlJc w:val="left"/>
      <w:pPr>
        <w:ind w:left="720" w:hanging="720"/>
      </w:pPr>
      <w:rPr>
        <w:rFonts w:hint="default" w:ascii="Times New Roman" w:hAnsi="Times New Roman" w:cs="Times New Roman"/>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6">
    <w:nsid w:val="62C14AD1"/>
    <w:multiLevelType w:val="multilevel"/>
    <w:tmpl w:val="62C14AD1"/>
    <w:lvl w:ilvl="0" w:tentative="0">
      <w:start w:val="1"/>
      <w:numFmt w:val="decimal"/>
      <w:lvlText w:val="（%1）"/>
      <w:lvlJc w:val="left"/>
      <w:pPr>
        <w:ind w:left="891" w:hanging="360"/>
      </w:pPr>
      <w:rPr>
        <w:rFonts w:hint="default" w:ascii="Times New Roman" w:hAnsi="Times New Roman"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17">
    <w:nsid w:val="63F56FD3"/>
    <w:multiLevelType w:val="multilevel"/>
    <w:tmpl w:val="63F56FD3"/>
    <w:lvl w:ilvl="0" w:tentative="0">
      <w:start w:val="1"/>
      <w:numFmt w:val="decimal"/>
      <w:lvlText w:val="%1"/>
      <w:lvlJc w:val="left"/>
      <w:pPr>
        <w:ind w:left="531" w:hanging="531"/>
      </w:pPr>
      <w:rPr>
        <w:rFonts w:hint="default"/>
      </w:rPr>
    </w:lvl>
    <w:lvl w:ilvl="1" w:tentative="0">
      <w:start w:val="1"/>
      <w:numFmt w:val="decimal"/>
      <w:lvlText w:val="7.%2"/>
      <w:lvlJc w:val="left"/>
      <w:pPr>
        <w:ind w:left="531" w:hanging="531"/>
      </w:pPr>
      <w:rPr>
        <w:rFonts w:hint="default" w:ascii="Times New Roman" w:hAnsi="Times New Roman" w:cs="Times New Roman"/>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8">
    <w:nsid w:val="6CAD6800"/>
    <w:multiLevelType w:val="multilevel"/>
    <w:tmpl w:val="6CAD6800"/>
    <w:lvl w:ilvl="0" w:tentative="0">
      <w:start w:val="1"/>
      <w:numFmt w:val="decimal"/>
      <w:lvlText w:val="（%1）"/>
      <w:lvlJc w:val="left"/>
      <w:pPr>
        <w:ind w:left="891" w:hanging="360"/>
      </w:pPr>
      <w:rPr>
        <w:rFonts w:hint="default" w:ascii="Times New Roman" w:hAnsi="Times New Roman" w:cs="Times New Roman"/>
        <w:b w:val="0"/>
      </w:rPr>
    </w:lvl>
    <w:lvl w:ilvl="1" w:tentative="0">
      <w:start w:val="0"/>
      <w:numFmt w:val="bullet"/>
      <w:lvlText w:val="□"/>
      <w:lvlJc w:val="left"/>
      <w:pPr>
        <w:ind w:left="1311" w:hanging="360"/>
      </w:pPr>
      <w:rPr>
        <w:rFonts w:hint="eastAsia" w:ascii="宋体" w:hAnsi="宋体" w:eastAsia="宋体" w:cs="Times New Roman"/>
      </w:r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19">
    <w:nsid w:val="6E0E6E8F"/>
    <w:multiLevelType w:val="multilevel"/>
    <w:tmpl w:val="6E0E6E8F"/>
    <w:lvl w:ilvl="0" w:tentative="0">
      <w:start w:val="1"/>
      <w:numFmt w:val="decimal"/>
      <w:lvlText w:val="（%1）"/>
      <w:lvlJc w:val="left"/>
      <w:pPr>
        <w:ind w:left="891" w:hanging="360"/>
      </w:pPr>
      <w:rPr>
        <w:rFonts w:hint="default" w:ascii="Times New Roman" w:hAnsi="Times New Roman" w:cs="Times New Roman"/>
        <w:b w:val="0"/>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20">
    <w:nsid w:val="740C3A37"/>
    <w:multiLevelType w:val="multilevel"/>
    <w:tmpl w:val="740C3A37"/>
    <w:lvl w:ilvl="0" w:tentative="0">
      <w:start w:val="1"/>
      <w:numFmt w:val="decimal"/>
      <w:lvlText w:val="%1"/>
      <w:lvlJc w:val="left"/>
      <w:pPr>
        <w:ind w:left="531" w:hanging="531"/>
      </w:pPr>
      <w:rPr>
        <w:rFonts w:hint="default"/>
      </w:rPr>
    </w:lvl>
    <w:lvl w:ilvl="1" w:tentative="0">
      <w:start w:val="1"/>
      <w:numFmt w:val="decimal"/>
      <w:lvlText w:val="4.%2"/>
      <w:lvlJc w:val="left"/>
      <w:pPr>
        <w:ind w:left="531" w:hanging="531"/>
      </w:pPr>
      <w:rPr>
        <w:rFonts w:hint="default" w:ascii="Times New Roman" w:hAnsi="Times New Roman" w:cs="Times New Roman"/>
        <w:b w:val="0"/>
      </w:rPr>
    </w:lvl>
    <w:lvl w:ilvl="2" w:tentative="0">
      <w:start w:val="1"/>
      <w:numFmt w:val="decimal"/>
      <w:lvlText w:val="%1.%2.%3"/>
      <w:lvlJc w:val="left"/>
      <w:pPr>
        <w:ind w:left="720" w:hanging="720"/>
      </w:pPr>
      <w:rPr>
        <w:rFonts w:hint="default" w:ascii="Times New Roman" w:hAnsi="Times New Roman" w:cs="Times New Roman"/>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1">
    <w:nsid w:val="755A5FD6"/>
    <w:multiLevelType w:val="multilevel"/>
    <w:tmpl w:val="755A5FD6"/>
    <w:lvl w:ilvl="0" w:tentative="0">
      <w:start w:val="1"/>
      <w:numFmt w:val="decimal"/>
      <w:lvlText w:val="%1"/>
      <w:lvlJc w:val="left"/>
      <w:pPr>
        <w:ind w:left="528" w:hanging="528"/>
      </w:pPr>
    </w:lvl>
    <w:lvl w:ilvl="1" w:tentative="0">
      <w:start w:val="1"/>
      <w:numFmt w:val="decimal"/>
      <w:lvlText w:val="%1.%2"/>
      <w:lvlJc w:val="left"/>
      <w:pPr>
        <w:ind w:left="528" w:hanging="528"/>
      </w:pPr>
      <w:rPr>
        <w:b w:val="0"/>
        <w:bCs/>
      </w:rPr>
    </w:lvl>
    <w:lvl w:ilvl="2" w:tentative="0">
      <w:start w:val="1"/>
      <w:numFmt w:val="decimal"/>
      <w:lvlText w:val="%1.%2.%3"/>
      <w:lvlJc w:val="left"/>
      <w:pPr>
        <w:ind w:left="720" w:hanging="720"/>
      </w:pPr>
    </w:lvl>
    <w:lvl w:ilvl="3" w:tentative="0">
      <w:start w:val="1"/>
      <w:numFmt w:val="decimal"/>
      <w:lvlText w:val="%1.%2.%3.%4"/>
      <w:lvlJc w:val="left"/>
      <w:pPr>
        <w:ind w:left="720" w:hanging="720"/>
      </w:pPr>
    </w:lvl>
    <w:lvl w:ilvl="4" w:tentative="0">
      <w:start w:val="1"/>
      <w:numFmt w:val="decimal"/>
      <w:lvlText w:val="%1.%2.%3.%4.%5"/>
      <w:lvlJc w:val="left"/>
      <w:pPr>
        <w:ind w:left="1080" w:hanging="1080"/>
      </w:pPr>
    </w:lvl>
    <w:lvl w:ilvl="5" w:tentative="0">
      <w:start w:val="1"/>
      <w:numFmt w:val="decimal"/>
      <w:lvlText w:val="%1.%2.%3.%4.%5.%6"/>
      <w:lvlJc w:val="left"/>
      <w:pPr>
        <w:ind w:left="1080" w:hanging="1080"/>
      </w:pPr>
    </w:lvl>
    <w:lvl w:ilvl="6" w:tentative="0">
      <w:start w:val="1"/>
      <w:numFmt w:val="decimal"/>
      <w:lvlText w:val="%1.%2.%3.%4.%5.%6.%7"/>
      <w:lvlJc w:val="left"/>
      <w:pPr>
        <w:ind w:left="1080" w:hanging="1080"/>
      </w:pPr>
    </w:lvl>
    <w:lvl w:ilvl="7" w:tentative="0">
      <w:start w:val="1"/>
      <w:numFmt w:val="decimal"/>
      <w:lvlText w:val="%1.%2.%3.%4.%5.%6.%7.%8"/>
      <w:lvlJc w:val="left"/>
      <w:pPr>
        <w:ind w:left="1440" w:hanging="1440"/>
      </w:pPr>
    </w:lvl>
    <w:lvl w:ilvl="8" w:tentative="0">
      <w:start w:val="1"/>
      <w:numFmt w:val="decimal"/>
      <w:lvlText w:val="%1.%2.%3.%4.%5.%6.%7.%8.%9"/>
      <w:lvlJc w:val="left"/>
      <w:pPr>
        <w:ind w:left="1440" w:hanging="1440"/>
      </w:pPr>
    </w:lvl>
  </w:abstractNum>
  <w:abstractNum w:abstractNumId="22">
    <w:nsid w:val="7A474ECC"/>
    <w:multiLevelType w:val="multilevel"/>
    <w:tmpl w:val="7A474ECC"/>
    <w:lvl w:ilvl="0" w:tentative="0">
      <w:start w:val="1"/>
      <w:numFmt w:val="decimal"/>
      <w:lvlText w:val="（%1）"/>
      <w:lvlJc w:val="left"/>
      <w:pPr>
        <w:ind w:left="1245" w:hanging="720"/>
      </w:pPr>
      <w:rPr>
        <w:rFonts w:hint="default" w:ascii="Times New Roman" w:hAnsi="Times New Roman" w:cs="Times New Roman"/>
        <w:b w:val="0"/>
        <w:bCs w:val="0"/>
      </w:rPr>
    </w:lvl>
    <w:lvl w:ilvl="1" w:tentative="0">
      <w:start w:val="1"/>
      <w:numFmt w:val="lowerLetter"/>
      <w:lvlText w:val="%2)"/>
      <w:lvlJc w:val="left"/>
      <w:pPr>
        <w:ind w:left="1365" w:hanging="420"/>
      </w:pPr>
    </w:lvl>
    <w:lvl w:ilvl="2" w:tentative="0">
      <w:start w:val="1"/>
      <w:numFmt w:val="lowerRoman"/>
      <w:lvlText w:val="%3."/>
      <w:lvlJc w:val="right"/>
      <w:pPr>
        <w:ind w:left="1785" w:hanging="420"/>
      </w:pPr>
    </w:lvl>
    <w:lvl w:ilvl="3" w:tentative="0">
      <w:start w:val="1"/>
      <w:numFmt w:val="decimal"/>
      <w:lvlText w:val="%4."/>
      <w:lvlJc w:val="left"/>
      <w:pPr>
        <w:ind w:left="2205" w:hanging="420"/>
      </w:pPr>
    </w:lvl>
    <w:lvl w:ilvl="4" w:tentative="0">
      <w:start w:val="1"/>
      <w:numFmt w:val="lowerLetter"/>
      <w:lvlText w:val="%5)"/>
      <w:lvlJc w:val="left"/>
      <w:pPr>
        <w:ind w:left="2625" w:hanging="420"/>
      </w:pPr>
    </w:lvl>
    <w:lvl w:ilvl="5" w:tentative="0">
      <w:start w:val="1"/>
      <w:numFmt w:val="lowerRoman"/>
      <w:lvlText w:val="%6."/>
      <w:lvlJc w:val="right"/>
      <w:pPr>
        <w:ind w:left="3045" w:hanging="420"/>
      </w:pPr>
    </w:lvl>
    <w:lvl w:ilvl="6" w:tentative="0">
      <w:start w:val="1"/>
      <w:numFmt w:val="decimal"/>
      <w:lvlText w:val="%7."/>
      <w:lvlJc w:val="left"/>
      <w:pPr>
        <w:ind w:left="3465" w:hanging="420"/>
      </w:pPr>
    </w:lvl>
    <w:lvl w:ilvl="7" w:tentative="0">
      <w:start w:val="1"/>
      <w:numFmt w:val="lowerLetter"/>
      <w:lvlText w:val="%8)"/>
      <w:lvlJc w:val="left"/>
      <w:pPr>
        <w:ind w:left="3885" w:hanging="420"/>
      </w:pPr>
    </w:lvl>
    <w:lvl w:ilvl="8" w:tentative="0">
      <w:start w:val="1"/>
      <w:numFmt w:val="lowerRoman"/>
      <w:lvlText w:val="%9."/>
      <w:lvlJc w:val="right"/>
      <w:pPr>
        <w:ind w:left="4305" w:hanging="420"/>
      </w:pPr>
    </w:lvl>
  </w:abstractNum>
  <w:num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2"/>
  </w:num>
  <w:num w:numId="6">
    <w:abstractNumId w:val="20"/>
  </w:num>
  <w:num w:numId="7">
    <w:abstractNumId w:val="19"/>
  </w:num>
  <w:num w:numId="8">
    <w:abstractNumId w:val="15"/>
  </w:num>
  <w:num w:numId="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5"/>
  </w:num>
  <w:num w:numId="12">
    <w:abstractNumId w:val="17"/>
  </w:num>
  <w:num w:numId="13">
    <w:abstractNumId w:val="4"/>
  </w:num>
  <w:num w:numId="14">
    <w:abstractNumId w:val="14"/>
  </w:num>
  <w:num w:numId="15">
    <w:abstractNumId w:val="18"/>
  </w:num>
  <w:num w:numId="16">
    <w:abstractNumId w:val="0"/>
  </w:num>
  <w:num w:numId="17">
    <w:abstractNumId w:val="13"/>
  </w:num>
  <w:num w:numId="1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num>
  <w:num w:numId="20">
    <w:abstractNumId w:val="8"/>
  </w:num>
  <w:num w:numId="21">
    <w:abstractNumId w:val="7"/>
  </w:num>
  <w:num w:numId="22">
    <w:abstractNumId w:val="6"/>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evenAndOddHeaders w:val="1"/>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F31"/>
    <w:rsid w:val="000017B3"/>
    <w:rsid w:val="00001980"/>
    <w:rsid w:val="00004FF9"/>
    <w:rsid w:val="00015FC3"/>
    <w:rsid w:val="00020161"/>
    <w:rsid w:val="000208CD"/>
    <w:rsid w:val="000242E0"/>
    <w:rsid w:val="00024B87"/>
    <w:rsid w:val="00030436"/>
    <w:rsid w:val="00030801"/>
    <w:rsid w:val="00030D0C"/>
    <w:rsid w:val="00032205"/>
    <w:rsid w:val="00032652"/>
    <w:rsid w:val="00032E27"/>
    <w:rsid w:val="000339F3"/>
    <w:rsid w:val="00046238"/>
    <w:rsid w:val="00053589"/>
    <w:rsid w:val="00060DE7"/>
    <w:rsid w:val="000649C8"/>
    <w:rsid w:val="00071D49"/>
    <w:rsid w:val="000753F5"/>
    <w:rsid w:val="000848F6"/>
    <w:rsid w:val="00087A7A"/>
    <w:rsid w:val="00095F4C"/>
    <w:rsid w:val="0009670B"/>
    <w:rsid w:val="00096D18"/>
    <w:rsid w:val="000A1A13"/>
    <w:rsid w:val="000A31D5"/>
    <w:rsid w:val="000A3409"/>
    <w:rsid w:val="000A3D60"/>
    <w:rsid w:val="000B2B0B"/>
    <w:rsid w:val="000B4DA1"/>
    <w:rsid w:val="000C09E0"/>
    <w:rsid w:val="000C108B"/>
    <w:rsid w:val="000D0619"/>
    <w:rsid w:val="000D3F9A"/>
    <w:rsid w:val="000D76B7"/>
    <w:rsid w:val="000D7B62"/>
    <w:rsid w:val="000E071E"/>
    <w:rsid w:val="000E241A"/>
    <w:rsid w:val="000E4A5B"/>
    <w:rsid w:val="000E5A4F"/>
    <w:rsid w:val="000E6AB8"/>
    <w:rsid w:val="000F09CD"/>
    <w:rsid w:val="000F0D2F"/>
    <w:rsid w:val="000F24E3"/>
    <w:rsid w:val="000F4FF3"/>
    <w:rsid w:val="000F69D6"/>
    <w:rsid w:val="00102F79"/>
    <w:rsid w:val="0010340D"/>
    <w:rsid w:val="0010650D"/>
    <w:rsid w:val="00110FC2"/>
    <w:rsid w:val="001118C7"/>
    <w:rsid w:val="00113986"/>
    <w:rsid w:val="00121AD6"/>
    <w:rsid w:val="00122153"/>
    <w:rsid w:val="00124ACA"/>
    <w:rsid w:val="00124D68"/>
    <w:rsid w:val="0012531C"/>
    <w:rsid w:val="00130A94"/>
    <w:rsid w:val="0013124B"/>
    <w:rsid w:val="001334C6"/>
    <w:rsid w:val="001413F9"/>
    <w:rsid w:val="0014261F"/>
    <w:rsid w:val="001451D3"/>
    <w:rsid w:val="00146044"/>
    <w:rsid w:val="00157962"/>
    <w:rsid w:val="00157A81"/>
    <w:rsid w:val="001632AD"/>
    <w:rsid w:val="0016330E"/>
    <w:rsid w:val="00166234"/>
    <w:rsid w:val="00166A08"/>
    <w:rsid w:val="00170060"/>
    <w:rsid w:val="00172A27"/>
    <w:rsid w:val="0017409E"/>
    <w:rsid w:val="001749F7"/>
    <w:rsid w:val="00175ED3"/>
    <w:rsid w:val="0017702F"/>
    <w:rsid w:val="0018119C"/>
    <w:rsid w:val="0018481E"/>
    <w:rsid w:val="001879FA"/>
    <w:rsid w:val="00190C17"/>
    <w:rsid w:val="00192024"/>
    <w:rsid w:val="00195B6E"/>
    <w:rsid w:val="001A31F1"/>
    <w:rsid w:val="001A560F"/>
    <w:rsid w:val="001A6CE1"/>
    <w:rsid w:val="001B1F34"/>
    <w:rsid w:val="001B252A"/>
    <w:rsid w:val="001B63F4"/>
    <w:rsid w:val="001B68BE"/>
    <w:rsid w:val="001C14D2"/>
    <w:rsid w:val="001C2B69"/>
    <w:rsid w:val="001C67E0"/>
    <w:rsid w:val="001C6904"/>
    <w:rsid w:val="001D18F7"/>
    <w:rsid w:val="001D27B4"/>
    <w:rsid w:val="001D3D6C"/>
    <w:rsid w:val="001D67C9"/>
    <w:rsid w:val="001E0286"/>
    <w:rsid w:val="001E1168"/>
    <w:rsid w:val="001E2366"/>
    <w:rsid w:val="001E2367"/>
    <w:rsid w:val="001E3378"/>
    <w:rsid w:val="001E5F1C"/>
    <w:rsid w:val="001E5F87"/>
    <w:rsid w:val="001F4475"/>
    <w:rsid w:val="001F484C"/>
    <w:rsid w:val="001F524E"/>
    <w:rsid w:val="001F6FAD"/>
    <w:rsid w:val="002043A8"/>
    <w:rsid w:val="0020772D"/>
    <w:rsid w:val="0022074D"/>
    <w:rsid w:val="0022519F"/>
    <w:rsid w:val="00227D04"/>
    <w:rsid w:val="00230995"/>
    <w:rsid w:val="00231F05"/>
    <w:rsid w:val="00236107"/>
    <w:rsid w:val="00237FE3"/>
    <w:rsid w:val="002401C9"/>
    <w:rsid w:val="00241EC0"/>
    <w:rsid w:val="00243B47"/>
    <w:rsid w:val="00245E7E"/>
    <w:rsid w:val="0025078B"/>
    <w:rsid w:val="00252035"/>
    <w:rsid w:val="002540B6"/>
    <w:rsid w:val="00256A78"/>
    <w:rsid w:val="00260945"/>
    <w:rsid w:val="00263BA8"/>
    <w:rsid w:val="00266DFF"/>
    <w:rsid w:val="00267281"/>
    <w:rsid w:val="002732D0"/>
    <w:rsid w:val="0028584F"/>
    <w:rsid w:val="002873C6"/>
    <w:rsid w:val="002919FE"/>
    <w:rsid w:val="002A1B27"/>
    <w:rsid w:val="002A24EE"/>
    <w:rsid w:val="002A3763"/>
    <w:rsid w:val="002A3FBA"/>
    <w:rsid w:val="002A6D53"/>
    <w:rsid w:val="002B28F8"/>
    <w:rsid w:val="002B3CC8"/>
    <w:rsid w:val="002B4BA3"/>
    <w:rsid w:val="002B5249"/>
    <w:rsid w:val="002B662B"/>
    <w:rsid w:val="002C01DF"/>
    <w:rsid w:val="002C1F78"/>
    <w:rsid w:val="002C5C3C"/>
    <w:rsid w:val="002C76CF"/>
    <w:rsid w:val="002D21C1"/>
    <w:rsid w:val="002D6E5F"/>
    <w:rsid w:val="002D6F34"/>
    <w:rsid w:val="002E0F3F"/>
    <w:rsid w:val="002E33D7"/>
    <w:rsid w:val="002E3880"/>
    <w:rsid w:val="002E4C62"/>
    <w:rsid w:val="002F2CD9"/>
    <w:rsid w:val="002F3AFB"/>
    <w:rsid w:val="002F512A"/>
    <w:rsid w:val="0030024C"/>
    <w:rsid w:val="00302B4C"/>
    <w:rsid w:val="003041D9"/>
    <w:rsid w:val="0030643A"/>
    <w:rsid w:val="00307CAB"/>
    <w:rsid w:val="00310FFA"/>
    <w:rsid w:val="00312B17"/>
    <w:rsid w:val="00314DD0"/>
    <w:rsid w:val="003164AA"/>
    <w:rsid w:val="00322718"/>
    <w:rsid w:val="00323344"/>
    <w:rsid w:val="003329DC"/>
    <w:rsid w:val="00340E26"/>
    <w:rsid w:val="0034265C"/>
    <w:rsid w:val="00344680"/>
    <w:rsid w:val="003471AC"/>
    <w:rsid w:val="00350382"/>
    <w:rsid w:val="003507D8"/>
    <w:rsid w:val="00353A52"/>
    <w:rsid w:val="00354EA6"/>
    <w:rsid w:val="00355BED"/>
    <w:rsid w:val="0035689B"/>
    <w:rsid w:val="00362103"/>
    <w:rsid w:val="003660BD"/>
    <w:rsid w:val="0037003A"/>
    <w:rsid w:val="00374E6F"/>
    <w:rsid w:val="003772F8"/>
    <w:rsid w:val="00377FFD"/>
    <w:rsid w:val="00385F7F"/>
    <w:rsid w:val="00387257"/>
    <w:rsid w:val="0039003E"/>
    <w:rsid w:val="003934BE"/>
    <w:rsid w:val="00395334"/>
    <w:rsid w:val="00396DAE"/>
    <w:rsid w:val="0039790C"/>
    <w:rsid w:val="003A045C"/>
    <w:rsid w:val="003A0BA9"/>
    <w:rsid w:val="003A4668"/>
    <w:rsid w:val="003A4E5D"/>
    <w:rsid w:val="003A669D"/>
    <w:rsid w:val="003B19C7"/>
    <w:rsid w:val="003B6723"/>
    <w:rsid w:val="003B76B7"/>
    <w:rsid w:val="003C0307"/>
    <w:rsid w:val="003C7942"/>
    <w:rsid w:val="003C7BC3"/>
    <w:rsid w:val="003D267E"/>
    <w:rsid w:val="003D2B0C"/>
    <w:rsid w:val="003D3631"/>
    <w:rsid w:val="003E035C"/>
    <w:rsid w:val="003E2F65"/>
    <w:rsid w:val="003E5488"/>
    <w:rsid w:val="003E6CC2"/>
    <w:rsid w:val="003E777D"/>
    <w:rsid w:val="003E7899"/>
    <w:rsid w:val="003E7BF6"/>
    <w:rsid w:val="003F0EAE"/>
    <w:rsid w:val="003F242D"/>
    <w:rsid w:val="003F59D6"/>
    <w:rsid w:val="00402645"/>
    <w:rsid w:val="004059CD"/>
    <w:rsid w:val="00406850"/>
    <w:rsid w:val="00411E16"/>
    <w:rsid w:val="00412CE9"/>
    <w:rsid w:val="00421256"/>
    <w:rsid w:val="00421F31"/>
    <w:rsid w:val="004250C1"/>
    <w:rsid w:val="004277DD"/>
    <w:rsid w:val="00430CE1"/>
    <w:rsid w:val="0043131A"/>
    <w:rsid w:val="00436951"/>
    <w:rsid w:val="00437319"/>
    <w:rsid w:val="00437F7B"/>
    <w:rsid w:val="00444DF3"/>
    <w:rsid w:val="00447E9A"/>
    <w:rsid w:val="004507F1"/>
    <w:rsid w:val="0045595C"/>
    <w:rsid w:val="00462827"/>
    <w:rsid w:val="004650FA"/>
    <w:rsid w:val="00466C38"/>
    <w:rsid w:val="00475D2B"/>
    <w:rsid w:val="00477F72"/>
    <w:rsid w:val="004812AC"/>
    <w:rsid w:val="00481E47"/>
    <w:rsid w:val="0048239F"/>
    <w:rsid w:val="0048575D"/>
    <w:rsid w:val="004859D2"/>
    <w:rsid w:val="0049756C"/>
    <w:rsid w:val="004A0553"/>
    <w:rsid w:val="004A130E"/>
    <w:rsid w:val="004A1484"/>
    <w:rsid w:val="004A5E2F"/>
    <w:rsid w:val="004B00F6"/>
    <w:rsid w:val="004B0368"/>
    <w:rsid w:val="004B26AC"/>
    <w:rsid w:val="004B54C5"/>
    <w:rsid w:val="004C24AB"/>
    <w:rsid w:val="004C2E79"/>
    <w:rsid w:val="004C358A"/>
    <w:rsid w:val="004C5A28"/>
    <w:rsid w:val="004C7104"/>
    <w:rsid w:val="004D0202"/>
    <w:rsid w:val="004D1365"/>
    <w:rsid w:val="004D3128"/>
    <w:rsid w:val="004D4DFB"/>
    <w:rsid w:val="004D7776"/>
    <w:rsid w:val="004E4BD3"/>
    <w:rsid w:val="004E5B7C"/>
    <w:rsid w:val="004E602E"/>
    <w:rsid w:val="004E6919"/>
    <w:rsid w:val="004E784E"/>
    <w:rsid w:val="004F1E7C"/>
    <w:rsid w:val="004F2DF2"/>
    <w:rsid w:val="004F4469"/>
    <w:rsid w:val="004F5EC9"/>
    <w:rsid w:val="00503754"/>
    <w:rsid w:val="005040D4"/>
    <w:rsid w:val="005055A8"/>
    <w:rsid w:val="00507848"/>
    <w:rsid w:val="00507C1E"/>
    <w:rsid w:val="00507CDB"/>
    <w:rsid w:val="00507FD8"/>
    <w:rsid w:val="00513FAE"/>
    <w:rsid w:val="005221D2"/>
    <w:rsid w:val="00522F9C"/>
    <w:rsid w:val="00524F7E"/>
    <w:rsid w:val="00531247"/>
    <w:rsid w:val="00532B50"/>
    <w:rsid w:val="00534D22"/>
    <w:rsid w:val="00540AC0"/>
    <w:rsid w:val="0055278D"/>
    <w:rsid w:val="0055287F"/>
    <w:rsid w:val="005605A3"/>
    <w:rsid w:val="00576FB0"/>
    <w:rsid w:val="00584206"/>
    <w:rsid w:val="00584637"/>
    <w:rsid w:val="00586D55"/>
    <w:rsid w:val="00587F53"/>
    <w:rsid w:val="005906A2"/>
    <w:rsid w:val="00590843"/>
    <w:rsid w:val="0059227E"/>
    <w:rsid w:val="00592CE9"/>
    <w:rsid w:val="00597E3D"/>
    <w:rsid w:val="005A125E"/>
    <w:rsid w:val="005A1B42"/>
    <w:rsid w:val="005A4FD6"/>
    <w:rsid w:val="005A58AE"/>
    <w:rsid w:val="005B4701"/>
    <w:rsid w:val="005B4C7C"/>
    <w:rsid w:val="005C13B2"/>
    <w:rsid w:val="005C14E4"/>
    <w:rsid w:val="005C1524"/>
    <w:rsid w:val="005C4D8B"/>
    <w:rsid w:val="005D06C2"/>
    <w:rsid w:val="005D45CD"/>
    <w:rsid w:val="005E582A"/>
    <w:rsid w:val="005E5C33"/>
    <w:rsid w:val="005E6C86"/>
    <w:rsid w:val="005E7337"/>
    <w:rsid w:val="005F2FC3"/>
    <w:rsid w:val="005F3353"/>
    <w:rsid w:val="00601351"/>
    <w:rsid w:val="00604A6A"/>
    <w:rsid w:val="00606A59"/>
    <w:rsid w:val="006116EC"/>
    <w:rsid w:val="00613E20"/>
    <w:rsid w:val="00617D59"/>
    <w:rsid w:val="00621204"/>
    <w:rsid w:val="0062216F"/>
    <w:rsid w:val="00622CB1"/>
    <w:rsid w:val="00625A9F"/>
    <w:rsid w:val="00627270"/>
    <w:rsid w:val="00634637"/>
    <w:rsid w:val="006347BD"/>
    <w:rsid w:val="00640452"/>
    <w:rsid w:val="00642D50"/>
    <w:rsid w:val="00642EB7"/>
    <w:rsid w:val="00650912"/>
    <w:rsid w:val="00654B4D"/>
    <w:rsid w:val="00654E49"/>
    <w:rsid w:val="00656164"/>
    <w:rsid w:val="0065630A"/>
    <w:rsid w:val="00665C39"/>
    <w:rsid w:val="00674DD6"/>
    <w:rsid w:val="0067558D"/>
    <w:rsid w:val="00675ED2"/>
    <w:rsid w:val="00697903"/>
    <w:rsid w:val="006A5D75"/>
    <w:rsid w:val="006A63F8"/>
    <w:rsid w:val="006B14A6"/>
    <w:rsid w:val="006B6F4B"/>
    <w:rsid w:val="006B7B8A"/>
    <w:rsid w:val="006B7E24"/>
    <w:rsid w:val="006C0823"/>
    <w:rsid w:val="006D618B"/>
    <w:rsid w:val="006E0A9B"/>
    <w:rsid w:val="006E2609"/>
    <w:rsid w:val="006E4907"/>
    <w:rsid w:val="006E5CD3"/>
    <w:rsid w:val="006F4118"/>
    <w:rsid w:val="006F4D92"/>
    <w:rsid w:val="006F5984"/>
    <w:rsid w:val="007008A2"/>
    <w:rsid w:val="00700BC4"/>
    <w:rsid w:val="007021D6"/>
    <w:rsid w:val="00707281"/>
    <w:rsid w:val="00707500"/>
    <w:rsid w:val="0071189A"/>
    <w:rsid w:val="007159B6"/>
    <w:rsid w:val="00716D5C"/>
    <w:rsid w:val="00724B6C"/>
    <w:rsid w:val="00725E00"/>
    <w:rsid w:val="007270D0"/>
    <w:rsid w:val="00731B12"/>
    <w:rsid w:val="00733564"/>
    <w:rsid w:val="00746E9B"/>
    <w:rsid w:val="007512B5"/>
    <w:rsid w:val="0075201B"/>
    <w:rsid w:val="00752424"/>
    <w:rsid w:val="0075313E"/>
    <w:rsid w:val="007603A5"/>
    <w:rsid w:val="0076155F"/>
    <w:rsid w:val="00761E85"/>
    <w:rsid w:val="00762786"/>
    <w:rsid w:val="007819D1"/>
    <w:rsid w:val="00785EBC"/>
    <w:rsid w:val="00791E60"/>
    <w:rsid w:val="00792F70"/>
    <w:rsid w:val="00795BCB"/>
    <w:rsid w:val="007A1927"/>
    <w:rsid w:val="007A33A2"/>
    <w:rsid w:val="007A359A"/>
    <w:rsid w:val="007B2508"/>
    <w:rsid w:val="007B2A86"/>
    <w:rsid w:val="007B2BD6"/>
    <w:rsid w:val="007B633D"/>
    <w:rsid w:val="007B753F"/>
    <w:rsid w:val="007D190A"/>
    <w:rsid w:val="007E057D"/>
    <w:rsid w:val="007E15BF"/>
    <w:rsid w:val="007E4CE7"/>
    <w:rsid w:val="007E7509"/>
    <w:rsid w:val="007F54B6"/>
    <w:rsid w:val="008017C5"/>
    <w:rsid w:val="008068E9"/>
    <w:rsid w:val="00813101"/>
    <w:rsid w:val="008279F9"/>
    <w:rsid w:val="0083105F"/>
    <w:rsid w:val="0083232C"/>
    <w:rsid w:val="0083337D"/>
    <w:rsid w:val="00835DD1"/>
    <w:rsid w:val="008368A7"/>
    <w:rsid w:val="00837A93"/>
    <w:rsid w:val="00843DBA"/>
    <w:rsid w:val="0084454E"/>
    <w:rsid w:val="00845922"/>
    <w:rsid w:val="00851366"/>
    <w:rsid w:val="008525A7"/>
    <w:rsid w:val="00852D3E"/>
    <w:rsid w:val="00853C1F"/>
    <w:rsid w:val="00856992"/>
    <w:rsid w:val="0085700A"/>
    <w:rsid w:val="00860070"/>
    <w:rsid w:val="008606ED"/>
    <w:rsid w:val="0086634E"/>
    <w:rsid w:val="00867F41"/>
    <w:rsid w:val="00871A6A"/>
    <w:rsid w:val="00874EDD"/>
    <w:rsid w:val="00881D84"/>
    <w:rsid w:val="00882771"/>
    <w:rsid w:val="00882F85"/>
    <w:rsid w:val="00885EFC"/>
    <w:rsid w:val="00891920"/>
    <w:rsid w:val="0089295C"/>
    <w:rsid w:val="0089697D"/>
    <w:rsid w:val="008A080A"/>
    <w:rsid w:val="008A0E27"/>
    <w:rsid w:val="008A598A"/>
    <w:rsid w:val="008A6152"/>
    <w:rsid w:val="008B1D71"/>
    <w:rsid w:val="008B2C61"/>
    <w:rsid w:val="008B5F3E"/>
    <w:rsid w:val="008B7587"/>
    <w:rsid w:val="008B7B9D"/>
    <w:rsid w:val="008C063F"/>
    <w:rsid w:val="008C4A9E"/>
    <w:rsid w:val="008C772F"/>
    <w:rsid w:val="008D1973"/>
    <w:rsid w:val="008D4111"/>
    <w:rsid w:val="008D41C7"/>
    <w:rsid w:val="008E29AB"/>
    <w:rsid w:val="008E53D8"/>
    <w:rsid w:val="008E607C"/>
    <w:rsid w:val="008E6F1A"/>
    <w:rsid w:val="008E7E35"/>
    <w:rsid w:val="008E7EEC"/>
    <w:rsid w:val="008F46A5"/>
    <w:rsid w:val="00904D35"/>
    <w:rsid w:val="009062BC"/>
    <w:rsid w:val="009063E8"/>
    <w:rsid w:val="00910A88"/>
    <w:rsid w:val="00915B45"/>
    <w:rsid w:val="00917B42"/>
    <w:rsid w:val="00920EE1"/>
    <w:rsid w:val="0092786F"/>
    <w:rsid w:val="009362FE"/>
    <w:rsid w:val="00937DAC"/>
    <w:rsid w:val="00941938"/>
    <w:rsid w:val="00942768"/>
    <w:rsid w:val="00944122"/>
    <w:rsid w:val="009450BB"/>
    <w:rsid w:val="009503D7"/>
    <w:rsid w:val="00952DBB"/>
    <w:rsid w:val="00957035"/>
    <w:rsid w:val="00963815"/>
    <w:rsid w:val="00963D3F"/>
    <w:rsid w:val="009641FF"/>
    <w:rsid w:val="009660FB"/>
    <w:rsid w:val="0096709F"/>
    <w:rsid w:val="00970BFF"/>
    <w:rsid w:val="00971DAF"/>
    <w:rsid w:val="00981E87"/>
    <w:rsid w:val="009847FF"/>
    <w:rsid w:val="00985C28"/>
    <w:rsid w:val="0099193E"/>
    <w:rsid w:val="00995DB9"/>
    <w:rsid w:val="00997F27"/>
    <w:rsid w:val="009A0482"/>
    <w:rsid w:val="009B27D1"/>
    <w:rsid w:val="009B352A"/>
    <w:rsid w:val="009B4A82"/>
    <w:rsid w:val="009B6AAC"/>
    <w:rsid w:val="009C2C82"/>
    <w:rsid w:val="009C561F"/>
    <w:rsid w:val="009C7E8D"/>
    <w:rsid w:val="009D2EAE"/>
    <w:rsid w:val="009D342B"/>
    <w:rsid w:val="009D3645"/>
    <w:rsid w:val="009D44A9"/>
    <w:rsid w:val="009E1679"/>
    <w:rsid w:val="009E209C"/>
    <w:rsid w:val="009F08E3"/>
    <w:rsid w:val="009F1B89"/>
    <w:rsid w:val="009F2B48"/>
    <w:rsid w:val="009F4254"/>
    <w:rsid w:val="009F565C"/>
    <w:rsid w:val="00A02705"/>
    <w:rsid w:val="00A031E1"/>
    <w:rsid w:val="00A100D5"/>
    <w:rsid w:val="00A15498"/>
    <w:rsid w:val="00A252BA"/>
    <w:rsid w:val="00A275B1"/>
    <w:rsid w:val="00A27E19"/>
    <w:rsid w:val="00A31BA5"/>
    <w:rsid w:val="00A34875"/>
    <w:rsid w:val="00A34C93"/>
    <w:rsid w:val="00A40FE7"/>
    <w:rsid w:val="00A436C8"/>
    <w:rsid w:val="00A447FC"/>
    <w:rsid w:val="00A45875"/>
    <w:rsid w:val="00A463B1"/>
    <w:rsid w:val="00A47BF9"/>
    <w:rsid w:val="00A531FC"/>
    <w:rsid w:val="00A54088"/>
    <w:rsid w:val="00A6636D"/>
    <w:rsid w:val="00A6695F"/>
    <w:rsid w:val="00A67319"/>
    <w:rsid w:val="00A71DC1"/>
    <w:rsid w:val="00A774AB"/>
    <w:rsid w:val="00A804BB"/>
    <w:rsid w:val="00A82DF1"/>
    <w:rsid w:val="00A83408"/>
    <w:rsid w:val="00A86533"/>
    <w:rsid w:val="00A875C7"/>
    <w:rsid w:val="00A90BE8"/>
    <w:rsid w:val="00A95CCD"/>
    <w:rsid w:val="00AA149F"/>
    <w:rsid w:val="00AA4C3C"/>
    <w:rsid w:val="00AA5C2B"/>
    <w:rsid w:val="00AA75EC"/>
    <w:rsid w:val="00AB10A5"/>
    <w:rsid w:val="00AB1301"/>
    <w:rsid w:val="00AB4FCA"/>
    <w:rsid w:val="00AB5FE1"/>
    <w:rsid w:val="00AC1DA5"/>
    <w:rsid w:val="00AD0F29"/>
    <w:rsid w:val="00AD6B60"/>
    <w:rsid w:val="00AD73BB"/>
    <w:rsid w:val="00AE05E6"/>
    <w:rsid w:val="00AE123C"/>
    <w:rsid w:val="00AE385E"/>
    <w:rsid w:val="00AE4477"/>
    <w:rsid w:val="00AF41BC"/>
    <w:rsid w:val="00AF560D"/>
    <w:rsid w:val="00AF58E8"/>
    <w:rsid w:val="00AF7B3C"/>
    <w:rsid w:val="00AF7C94"/>
    <w:rsid w:val="00B013ED"/>
    <w:rsid w:val="00B02C4F"/>
    <w:rsid w:val="00B11163"/>
    <w:rsid w:val="00B11CA3"/>
    <w:rsid w:val="00B13462"/>
    <w:rsid w:val="00B135C3"/>
    <w:rsid w:val="00B13FE4"/>
    <w:rsid w:val="00B15B84"/>
    <w:rsid w:val="00B21A4E"/>
    <w:rsid w:val="00B23F3A"/>
    <w:rsid w:val="00B27B53"/>
    <w:rsid w:val="00B31FF2"/>
    <w:rsid w:val="00B32079"/>
    <w:rsid w:val="00B32450"/>
    <w:rsid w:val="00B343D3"/>
    <w:rsid w:val="00B371A3"/>
    <w:rsid w:val="00B37217"/>
    <w:rsid w:val="00B40AF0"/>
    <w:rsid w:val="00B41CF5"/>
    <w:rsid w:val="00B44F27"/>
    <w:rsid w:val="00B51E6E"/>
    <w:rsid w:val="00B52D4C"/>
    <w:rsid w:val="00B5311D"/>
    <w:rsid w:val="00B5332D"/>
    <w:rsid w:val="00B6178F"/>
    <w:rsid w:val="00B62968"/>
    <w:rsid w:val="00B65728"/>
    <w:rsid w:val="00B66AD6"/>
    <w:rsid w:val="00B7022D"/>
    <w:rsid w:val="00B70F65"/>
    <w:rsid w:val="00B7224A"/>
    <w:rsid w:val="00B7464D"/>
    <w:rsid w:val="00B84444"/>
    <w:rsid w:val="00B84C24"/>
    <w:rsid w:val="00B8584E"/>
    <w:rsid w:val="00B875D9"/>
    <w:rsid w:val="00B94A0F"/>
    <w:rsid w:val="00BA3028"/>
    <w:rsid w:val="00BA3D68"/>
    <w:rsid w:val="00BB0C0E"/>
    <w:rsid w:val="00BB109B"/>
    <w:rsid w:val="00BB1EF2"/>
    <w:rsid w:val="00BC3C7F"/>
    <w:rsid w:val="00BC6CB2"/>
    <w:rsid w:val="00BC75EA"/>
    <w:rsid w:val="00BD7607"/>
    <w:rsid w:val="00BE5975"/>
    <w:rsid w:val="00BF1FDC"/>
    <w:rsid w:val="00C03368"/>
    <w:rsid w:val="00C05CBF"/>
    <w:rsid w:val="00C07354"/>
    <w:rsid w:val="00C13751"/>
    <w:rsid w:val="00C145E8"/>
    <w:rsid w:val="00C15C9F"/>
    <w:rsid w:val="00C2041D"/>
    <w:rsid w:val="00C20763"/>
    <w:rsid w:val="00C2125C"/>
    <w:rsid w:val="00C23C30"/>
    <w:rsid w:val="00C25D7F"/>
    <w:rsid w:val="00C36ACF"/>
    <w:rsid w:val="00C41AEA"/>
    <w:rsid w:val="00C46D19"/>
    <w:rsid w:val="00C47978"/>
    <w:rsid w:val="00C55D0F"/>
    <w:rsid w:val="00C56D89"/>
    <w:rsid w:val="00C607AC"/>
    <w:rsid w:val="00C609BF"/>
    <w:rsid w:val="00C62431"/>
    <w:rsid w:val="00C64BA4"/>
    <w:rsid w:val="00C65849"/>
    <w:rsid w:val="00C70FCE"/>
    <w:rsid w:val="00C7279D"/>
    <w:rsid w:val="00C72A27"/>
    <w:rsid w:val="00C735EA"/>
    <w:rsid w:val="00C73C7C"/>
    <w:rsid w:val="00C75BAD"/>
    <w:rsid w:val="00C77425"/>
    <w:rsid w:val="00C820ED"/>
    <w:rsid w:val="00C9133F"/>
    <w:rsid w:val="00C91FD8"/>
    <w:rsid w:val="00C927E2"/>
    <w:rsid w:val="00C92D2D"/>
    <w:rsid w:val="00C94904"/>
    <w:rsid w:val="00C94CAB"/>
    <w:rsid w:val="00C97348"/>
    <w:rsid w:val="00CA0394"/>
    <w:rsid w:val="00CA6E46"/>
    <w:rsid w:val="00CA70A0"/>
    <w:rsid w:val="00CB18F7"/>
    <w:rsid w:val="00CB58D7"/>
    <w:rsid w:val="00CB7E70"/>
    <w:rsid w:val="00CC0256"/>
    <w:rsid w:val="00CC2E12"/>
    <w:rsid w:val="00CC6BD4"/>
    <w:rsid w:val="00CD057D"/>
    <w:rsid w:val="00CD05A8"/>
    <w:rsid w:val="00CD14E8"/>
    <w:rsid w:val="00CD36FF"/>
    <w:rsid w:val="00CD402D"/>
    <w:rsid w:val="00CD730B"/>
    <w:rsid w:val="00CE0B58"/>
    <w:rsid w:val="00CE3540"/>
    <w:rsid w:val="00CE48CA"/>
    <w:rsid w:val="00CE6DA2"/>
    <w:rsid w:val="00CE709F"/>
    <w:rsid w:val="00CF054C"/>
    <w:rsid w:val="00CF0CDF"/>
    <w:rsid w:val="00D00E90"/>
    <w:rsid w:val="00D03E8C"/>
    <w:rsid w:val="00D115EB"/>
    <w:rsid w:val="00D16EDA"/>
    <w:rsid w:val="00D1757D"/>
    <w:rsid w:val="00D20772"/>
    <w:rsid w:val="00D21D76"/>
    <w:rsid w:val="00D23B0A"/>
    <w:rsid w:val="00D26462"/>
    <w:rsid w:val="00D2751F"/>
    <w:rsid w:val="00D31DC4"/>
    <w:rsid w:val="00D338F0"/>
    <w:rsid w:val="00D360E2"/>
    <w:rsid w:val="00D40B8D"/>
    <w:rsid w:val="00D41A3B"/>
    <w:rsid w:val="00D45B39"/>
    <w:rsid w:val="00D50B05"/>
    <w:rsid w:val="00D52B64"/>
    <w:rsid w:val="00D548F5"/>
    <w:rsid w:val="00D55B6C"/>
    <w:rsid w:val="00D611F6"/>
    <w:rsid w:val="00D617BC"/>
    <w:rsid w:val="00D61C9E"/>
    <w:rsid w:val="00D64070"/>
    <w:rsid w:val="00D64B6D"/>
    <w:rsid w:val="00D70198"/>
    <w:rsid w:val="00D7199B"/>
    <w:rsid w:val="00D7231E"/>
    <w:rsid w:val="00D73983"/>
    <w:rsid w:val="00D73F48"/>
    <w:rsid w:val="00D76006"/>
    <w:rsid w:val="00D833CA"/>
    <w:rsid w:val="00D914B5"/>
    <w:rsid w:val="00D9732F"/>
    <w:rsid w:val="00DA1DD7"/>
    <w:rsid w:val="00DA468C"/>
    <w:rsid w:val="00DA4DB5"/>
    <w:rsid w:val="00DB51D2"/>
    <w:rsid w:val="00DB5D05"/>
    <w:rsid w:val="00DB6D97"/>
    <w:rsid w:val="00DC1895"/>
    <w:rsid w:val="00DC3AE3"/>
    <w:rsid w:val="00DC4235"/>
    <w:rsid w:val="00DC45A5"/>
    <w:rsid w:val="00DC7FDE"/>
    <w:rsid w:val="00DD04EE"/>
    <w:rsid w:val="00DD1E11"/>
    <w:rsid w:val="00DE197C"/>
    <w:rsid w:val="00DE3B9E"/>
    <w:rsid w:val="00DE5B9A"/>
    <w:rsid w:val="00DE7B76"/>
    <w:rsid w:val="00DF2EA7"/>
    <w:rsid w:val="00E0382C"/>
    <w:rsid w:val="00E038B4"/>
    <w:rsid w:val="00E056D9"/>
    <w:rsid w:val="00E10A87"/>
    <w:rsid w:val="00E12426"/>
    <w:rsid w:val="00E13255"/>
    <w:rsid w:val="00E15726"/>
    <w:rsid w:val="00E1746D"/>
    <w:rsid w:val="00E20315"/>
    <w:rsid w:val="00E2174B"/>
    <w:rsid w:val="00E23D9F"/>
    <w:rsid w:val="00E23F38"/>
    <w:rsid w:val="00E24B08"/>
    <w:rsid w:val="00E25085"/>
    <w:rsid w:val="00E2554A"/>
    <w:rsid w:val="00E26154"/>
    <w:rsid w:val="00E2768A"/>
    <w:rsid w:val="00E33589"/>
    <w:rsid w:val="00E45615"/>
    <w:rsid w:val="00E46973"/>
    <w:rsid w:val="00E54CB0"/>
    <w:rsid w:val="00E60FD4"/>
    <w:rsid w:val="00E65141"/>
    <w:rsid w:val="00E74598"/>
    <w:rsid w:val="00E82B39"/>
    <w:rsid w:val="00E85927"/>
    <w:rsid w:val="00E903A4"/>
    <w:rsid w:val="00E93B40"/>
    <w:rsid w:val="00EA33F5"/>
    <w:rsid w:val="00EA6040"/>
    <w:rsid w:val="00EA79CF"/>
    <w:rsid w:val="00EB1787"/>
    <w:rsid w:val="00EB7EC7"/>
    <w:rsid w:val="00EC377D"/>
    <w:rsid w:val="00EC3D7A"/>
    <w:rsid w:val="00EC5CDE"/>
    <w:rsid w:val="00EC6AA4"/>
    <w:rsid w:val="00ED095C"/>
    <w:rsid w:val="00ED0AAD"/>
    <w:rsid w:val="00ED2F73"/>
    <w:rsid w:val="00EE6F3C"/>
    <w:rsid w:val="00EF6600"/>
    <w:rsid w:val="00EF7AF3"/>
    <w:rsid w:val="00EF7BC0"/>
    <w:rsid w:val="00F00CC1"/>
    <w:rsid w:val="00F00E6F"/>
    <w:rsid w:val="00F016DB"/>
    <w:rsid w:val="00F01D6B"/>
    <w:rsid w:val="00F028E0"/>
    <w:rsid w:val="00F033B4"/>
    <w:rsid w:val="00F10345"/>
    <w:rsid w:val="00F12056"/>
    <w:rsid w:val="00F121EB"/>
    <w:rsid w:val="00F1338D"/>
    <w:rsid w:val="00F13573"/>
    <w:rsid w:val="00F13DBB"/>
    <w:rsid w:val="00F14138"/>
    <w:rsid w:val="00F1431E"/>
    <w:rsid w:val="00F15E37"/>
    <w:rsid w:val="00F16342"/>
    <w:rsid w:val="00F1751C"/>
    <w:rsid w:val="00F20C05"/>
    <w:rsid w:val="00F212E4"/>
    <w:rsid w:val="00F22922"/>
    <w:rsid w:val="00F2368C"/>
    <w:rsid w:val="00F30DF7"/>
    <w:rsid w:val="00F32144"/>
    <w:rsid w:val="00F35CB3"/>
    <w:rsid w:val="00F3689F"/>
    <w:rsid w:val="00F37390"/>
    <w:rsid w:val="00F376A3"/>
    <w:rsid w:val="00F37B4F"/>
    <w:rsid w:val="00F412D4"/>
    <w:rsid w:val="00F5275F"/>
    <w:rsid w:val="00F52FF0"/>
    <w:rsid w:val="00F55A94"/>
    <w:rsid w:val="00F57274"/>
    <w:rsid w:val="00F57B7E"/>
    <w:rsid w:val="00F60D08"/>
    <w:rsid w:val="00F634B4"/>
    <w:rsid w:val="00F6393B"/>
    <w:rsid w:val="00F647D3"/>
    <w:rsid w:val="00F65272"/>
    <w:rsid w:val="00F67E6B"/>
    <w:rsid w:val="00F71610"/>
    <w:rsid w:val="00F76637"/>
    <w:rsid w:val="00F808F6"/>
    <w:rsid w:val="00F824FF"/>
    <w:rsid w:val="00F82870"/>
    <w:rsid w:val="00F83D16"/>
    <w:rsid w:val="00F85DAD"/>
    <w:rsid w:val="00F9253C"/>
    <w:rsid w:val="00FA5B06"/>
    <w:rsid w:val="00FA797F"/>
    <w:rsid w:val="00FB20E7"/>
    <w:rsid w:val="00FB4E38"/>
    <w:rsid w:val="00FC18AE"/>
    <w:rsid w:val="00FD1DB3"/>
    <w:rsid w:val="00FD40B5"/>
    <w:rsid w:val="00FD6497"/>
    <w:rsid w:val="00FE2FFA"/>
    <w:rsid w:val="00FE3AC9"/>
    <w:rsid w:val="00FE4AA8"/>
    <w:rsid w:val="00FE73C6"/>
    <w:rsid w:val="00FF62BC"/>
    <w:rsid w:val="00FF6E7C"/>
    <w:rsid w:val="00FF7638"/>
    <w:rsid w:val="02476F2E"/>
    <w:rsid w:val="027B2709"/>
    <w:rsid w:val="029403CC"/>
    <w:rsid w:val="02B73E03"/>
    <w:rsid w:val="03D76459"/>
    <w:rsid w:val="057118B0"/>
    <w:rsid w:val="05773987"/>
    <w:rsid w:val="05DB0696"/>
    <w:rsid w:val="060F3BB4"/>
    <w:rsid w:val="06147FFC"/>
    <w:rsid w:val="087D1CE6"/>
    <w:rsid w:val="08C21DEA"/>
    <w:rsid w:val="0A2704EC"/>
    <w:rsid w:val="0A9E16FB"/>
    <w:rsid w:val="0E5810B1"/>
    <w:rsid w:val="11CB1D14"/>
    <w:rsid w:val="11EC2208"/>
    <w:rsid w:val="12F91530"/>
    <w:rsid w:val="13933CA9"/>
    <w:rsid w:val="1606156C"/>
    <w:rsid w:val="17045380"/>
    <w:rsid w:val="18272A00"/>
    <w:rsid w:val="18BD1C8B"/>
    <w:rsid w:val="19044D2A"/>
    <w:rsid w:val="19CE1BFF"/>
    <w:rsid w:val="1AD82DAC"/>
    <w:rsid w:val="1C432318"/>
    <w:rsid w:val="1E885624"/>
    <w:rsid w:val="1EC411D0"/>
    <w:rsid w:val="1EF92B63"/>
    <w:rsid w:val="1FD93CCC"/>
    <w:rsid w:val="21034827"/>
    <w:rsid w:val="22592CDC"/>
    <w:rsid w:val="22B37C7D"/>
    <w:rsid w:val="2326274F"/>
    <w:rsid w:val="2485597A"/>
    <w:rsid w:val="24AE3FCB"/>
    <w:rsid w:val="255E30DE"/>
    <w:rsid w:val="264A1B6C"/>
    <w:rsid w:val="266140AB"/>
    <w:rsid w:val="26743075"/>
    <w:rsid w:val="27D75F58"/>
    <w:rsid w:val="283169C1"/>
    <w:rsid w:val="28E64C29"/>
    <w:rsid w:val="2942279E"/>
    <w:rsid w:val="29BD4BC9"/>
    <w:rsid w:val="29C64750"/>
    <w:rsid w:val="2A557F75"/>
    <w:rsid w:val="2B4B60E5"/>
    <w:rsid w:val="2B5E0305"/>
    <w:rsid w:val="2B78612F"/>
    <w:rsid w:val="2D074F39"/>
    <w:rsid w:val="2DA32B84"/>
    <w:rsid w:val="2DD846C1"/>
    <w:rsid w:val="2FED68A1"/>
    <w:rsid w:val="30AE5B14"/>
    <w:rsid w:val="32C97752"/>
    <w:rsid w:val="32D21971"/>
    <w:rsid w:val="33543806"/>
    <w:rsid w:val="34525525"/>
    <w:rsid w:val="34807187"/>
    <w:rsid w:val="358D4A67"/>
    <w:rsid w:val="3900730E"/>
    <w:rsid w:val="39076AFD"/>
    <w:rsid w:val="39985C82"/>
    <w:rsid w:val="39D46BEB"/>
    <w:rsid w:val="3AE74461"/>
    <w:rsid w:val="3B3E74C2"/>
    <w:rsid w:val="3B9C2BBA"/>
    <w:rsid w:val="3C543496"/>
    <w:rsid w:val="3C985175"/>
    <w:rsid w:val="3D6D6420"/>
    <w:rsid w:val="3D8502AB"/>
    <w:rsid w:val="3DA47C31"/>
    <w:rsid w:val="41141041"/>
    <w:rsid w:val="42A46C1F"/>
    <w:rsid w:val="42E90D65"/>
    <w:rsid w:val="43A24383"/>
    <w:rsid w:val="43BE4985"/>
    <w:rsid w:val="4448201D"/>
    <w:rsid w:val="453F7628"/>
    <w:rsid w:val="459A5DA4"/>
    <w:rsid w:val="4612276E"/>
    <w:rsid w:val="48246790"/>
    <w:rsid w:val="48CC4BCE"/>
    <w:rsid w:val="4A517BB2"/>
    <w:rsid w:val="4A5E55E4"/>
    <w:rsid w:val="4AEE358C"/>
    <w:rsid w:val="4BA927D4"/>
    <w:rsid w:val="4C1F4DE4"/>
    <w:rsid w:val="4C79438F"/>
    <w:rsid w:val="4D2C7196"/>
    <w:rsid w:val="4F0A4F22"/>
    <w:rsid w:val="4FBD03A3"/>
    <w:rsid w:val="501870F5"/>
    <w:rsid w:val="504020AE"/>
    <w:rsid w:val="50FD1FCA"/>
    <w:rsid w:val="53C546B1"/>
    <w:rsid w:val="54A62999"/>
    <w:rsid w:val="55163AC6"/>
    <w:rsid w:val="57B704FB"/>
    <w:rsid w:val="57DF4624"/>
    <w:rsid w:val="57EE1E8E"/>
    <w:rsid w:val="5CDE7491"/>
    <w:rsid w:val="5DDF4D2E"/>
    <w:rsid w:val="5DFE065B"/>
    <w:rsid w:val="5E170AF0"/>
    <w:rsid w:val="5FAF27D1"/>
    <w:rsid w:val="60F03F78"/>
    <w:rsid w:val="641E0C41"/>
    <w:rsid w:val="6427244F"/>
    <w:rsid w:val="64E00BD5"/>
    <w:rsid w:val="65136874"/>
    <w:rsid w:val="69C064B2"/>
    <w:rsid w:val="6A0C2C57"/>
    <w:rsid w:val="6AAB4F7F"/>
    <w:rsid w:val="6AF72D71"/>
    <w:rsid w:val="6D19684D"/>
    <w:rsid w:val="6D1D02B2"/>
    <w:rsid w:val="6F1E190F"/>
    <w:rsid w:val="6F2D20F2"/>
    <w:rsid w:val="70D35748"/>
    <w:rsid w:val="736B2007"/>
    <w:rsid w:val="737D3686"/>
    <w:rsid w:val="74051487"/>
    <w:rsid w:val="74FD0D8D"/>
    <w:rsid w:val="75431B96"/>
    <w:rsid w:val="755A0A19"/>
    <w:rsid w:val="75FB3664"/>
    <w:rsid w:val="766E02A5"/>
    <w:rsid w:val="76A3108D"/>
    <w:rsid w:val="76AE47C2"/>
    <w:rsid w:val="76BA4AF8"/>
    <w:rsid w:val="77B66701"/>
    <w:rsid w:val="77CB0C54"/>
    <w:rsid w:val="78171BEB"/>
    <w:rsid w:val="797075B4"/>
    <w:rsid w:val="79A82D78"/>
    <w:rsid w:val="79D46A87"/>
    <w:rsid w:val="7A7D5944"/>
    <w:rsid w:val="7AB16063"/>
    <w:rsid w:val="7AD55F00"/>
    <w:rsid w:val="7B954FD0"/>
    <w:rsid w:val="7B973168"/>
    <w:rsid w:val="7CA21BB9"/>
    <w:rsid w:val="7CBC3935"/>
    <w:rsid w:val="7CE85E18"/>
    <w:rsid w:val="7D9162C3"/>
    <w:rsid w:val="7F330CBF"/>
    <w:rsid w:val="BFB796B6"/>
    <w:rsid w:val="D67F6E27"/>
    <w:rsid w:val="F3E33A56"/>
    <w:rsid w:val="F95FF0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9"/>
    <w:unhideWhenUsed/>
    <w:qFormat/>
    <w:uiPriority w:val="99"/>
    <w:pPr>
      <w:jc w:val="left"/>
    </w:pPr>
  </w:style>
  <w:style w:type="paragraph" w:styleId="3">
    <w:name w:val="Plain Text"/>
    <w:basedOn w:val="1"/>
    <w:link w:val="17"/>
    <w:qFormat/>
    <w:uiPriority w:val="0"/>
    <w:rPr>
      <w:rFonts w:ascii="宋体" w:hAnsi="Courier New"/>
      <w:szCs w:val="20"/>
    </w:rPr>
  </w:style>
  <w:style w:type="paragraph" w:styleId="4">
    <w:name w:val="Balloon Text"/>
    <w:basedOn w:val="1"/>
    <w:link w:val="21"/>
    <w:semiHidden/>
    <w:unhideWhenUsed/>
    <w:qFormat/>
    <w:uiPriority w:val="99"/>
    <w:rPr>
      <w:sz w:val="18"/>
      <w:szCs w:val="18"/>
    </w:rPr>
  </w:style>
  <w:style w:type="paragraph" w:styleId="5">
    <w:name w:val="footer"/>
    <w:basedOn w:val="1"/>
    <w:link w:val="16"/>
    <w:unhideWhenUsed/>
    <w:qFormat/>
    <w:uiPriority w:val="99"/>
    <w:pPr>
      <w:tabs>
        <w:tab w:val="center" w:pos="4153"/>
        <w:tab w:val="right" w:pos="8306"/>
      </w:tabs>
      <w:snapToGrid w:val="0"/>
      <w:jc w:val="left"/>
    </w:pPr>
    <w:rPr>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spacing w:beforeAutospacing="1" w:afterAutospacing="1"/>
      <w:jc w:val="left"/>
    </w:pPr>
    <w:rPr>
      <w:kern w:val="0"/>
      <w:sz w:val="24"/>
    </w:rPr>
  </w:style>
  <w:style w:type="paragraph" w:styleId="8">
    <w:name w:val="Title"/>
    <w:basedOn w:val="1"/>
    <w:next w:val="1"/>
    <w:link w:val="18"/>
    <w:qFormat/>
    <w:uiPriority w:val="10"/>
    <w:pPr>
      <w:spacing w:before="240" w:after="60"/>
      <w:jc w:val="center"/>
      <w:outlineLvl w:val="0"/>
    </w:pPr>
    <w:rPr>
      <w:rFonts w:ascii="Cambria" w:hAnsi="Cambria"/>
      <w:b/>
      <w:bCs/>
      <w:sz w:val="32"/>
      <w:szCs w:val="32"/>
    </w:rPr>
  </w:style>
  <w:style w:type="paragraph" w:styleId="9">
    <w:name w:val="annotation subject"/>
    <w:basedOn w:val="2"/>
    <w:next w:val="2"/>
    <w:link w:val="20"/>
    <w:semiHidden/>
    <w:unhideWhenUsed/>
    <w:qFormat/>
    <w:uiPriority w:val="99"/>
    <w:rPr>
      <w:b/>
      <w:bCs/>
    </w:rPr>
  </w:style>
  <w:style w:type="table" w:styleId="11">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semiHidden/>
    <w:unhideWhenUsed/>
    <w:qFormat/>
    <w:uiPriority w:val="99"/>
    <w:rPr>
      <w:color w:val="0000FF"/>
      <w:u w:val="single"/>
    </w:rPr>
  </w:style>
  <w:style w:type="character" w:styleId="14">
    <w:name w:val="annotation reference"/>
    <w:basedOn w:val="12"/>
    <w:semiHidden/>
    <w:unhideWhenUsed/>
    <w:qFormat/>
    <w:uiPriority w:val="99"/>
    <w:rPr>
      <w:sz w:val="21"/>
      <w:szCs w:val="21"/>
    </w:rPr>
  </w:style>
  <w:style w:type="character" w:customStyle="1" w:styleId="15">
    <w:name w:val="页眉 字符"/>
    <w:basedOn w:val="12"/>
    <w:link w:val="6"/>
    <w:qFormat/>
    <w:uiPriority w:val="99"/>
    <w:rPr>
      <w:sz w:val="18"/>
      <w:szCs w:val="18"/>
    </w:rPr>
  </w:style>
  <w:style w:type="character" w:customStyle="1" w:styleId="16">
    <w:name w:val="页脚 字符"/>
    <w:basedOn w:val="12"/>
    <w:link w:val="5"/>
    <w:qFormat/>
    <w:uiPriority w:val="99"/>
    <w:rPr>
      <w:sz w:val="18"/>
      <w:szCs w:val="18"/>
    </w:rPr>
  </w:style>
  <w:style w:type="character" w:customStyle="1" w:styleId="17">
    <w:name w:val="纯文本 字符"/>
    <w:basedOn w:val="12"/>
    <w:link w:val="3"/>
    <w:qFormat/>
    <w:uiPriority w:val="0"/>
    <w:rPr>
      <w:rFonts w:ascii="宋体" w:hAnsi="Courier New" w:eastAsia="宋体" w:cs="Times New Roman"/>
      <w:szCs w:val="20"/>
    </w:rPr>
  </w:style>
  <w:style w:type="character" w:customStyle="1" w:styleId="18">
    <w:name w:val="标题 字符"/>
    <w:basedOn w:val="12"/>
    <w:link w:val="8"/>
    <w:qFormat/>
    <w:uiPriority w:val="10"/>
    <w:rPr>
      <w:rFonts w:ascii="Cambria" w:hAnsi="Cambria" w:eastAsia="宋体" w:cs="Times New Roman"/>
      <w:b/>
      <w:bCs/>
      <w:sz w:val="32"/>
      <w:szCs w:val="32"/>
    </w:rPr>
  </w:style>
  <w:style w:type="character" w:customStyle="1" w:styleId="19">
    <w:name w:val="批注文字 字符"/>
    <w:basedOn w:val="12"/>
    <w:link w:val="2"/>
    <w:qFormat/>
    <w:uiPriority w:val="99"/>
    <w:rPr>
      <w:rFonts w:ascii="Times New Roman" w:hAnsi="Times New Roman" w:eastAsia="宋体" w:cs="Times New Roman"/>
      <w:szCs w:val="24"/>
    </w:rPr>
  </w:style>
  <w:style w:type="character" w:customStyle="1" w:styleId="20">
    <w:name w:val="批注主题 字符"/>
    <w:basedOn w:val="19"/>
    <w:link w:val="9"/>
    <w:semiHidden/>
    <w:qFormat/>
    <w:uiPriority w:val="99"/>
    <w:rPr>
      <w:rFonts w:ascii="Times New Roman" w:hAnsi="Times New Roman" w:eastAsia="宋体" w:cs="Times New Roman"/>
      <w:b/>
      <w:bCs/>
      <w:szCs w:val="24"/>
    </w:rPr>
  </w:style>
  <w:style w:type="character" w:customStyle="1" w:styleId="21">
    <w:name w:val="批注框文本 字符"/>
    <w:basedOn w:val="12"/>
    <w:link w:val="4"/>
    <w:semiHidden/>
    <w:qFormat/>
    <w:uiPriority w:val="99"/>
    <w:rPr>
      <w:rFonts w:ascii="Times New Roman" w:hAnsi="Times New Roman" w:eastAsia="宋体" w:cs="Times New Roman"/>
      <w:sz w:val="18"/>
      <w:szCs w:val="18"/>
    </w:rPr>
  </w:style>
  <w:style w:type="character" w:customStyle="1" w:styleId="22">
    <w:name w:val="列出段落 字符"/>
    <w:link w:val="23"/>
    <w:qFormat/>
    <w:locked/>
    <w:uiPriority w:val="34"/>
    <w:rPr>
      <w:rFonts w:ascii="Calibri" w:hAnsi="Calibri"/>
    </w:rPr>
  </w:style>
  <w:style w:type="paragraph" w:styleId="23">
    <w:name w:val="List Paragraph"/>
    <w:basedOn w:val="1"/>
    <w:link w:val="22"/>
    <w:qFormat/>
    <w:uiPriority w:val="34"/>
    <w:pPr>
      <w:ind w:firstLine="420" w:firstLineChars="200"/>
    </w:pPr>
    <w:rPr>
      <w:rFonts w:ascii="Calibri" w:hAnsi="Calibri" w:eastAsiaTheme="minorEastAsia" w:cstheme="minorBidi"/>
      <w:szCs w:val="22"/>
    </w:rPr>
  </w:style>
  <w:style w:type="paragraph" w:customStyle="1" w:styleId="24">
    <w:name w:val="修订1"/>
    <w:hidden/>
    <w:semiHidden/>
    <w:qFormat/>
    <w:uiPriority w:val="99"/>
    <w:rPr>
      <w:rFonts w:ascii="Times New Roman" w:hAnsi="Times New Roman" w:eastAsia="宋体" w:cs="Times New Roman"/>
      <w:kern w:val="2"/>
      <w:sz w:val="21"/>
      <w:szCs w:val="24"/>
      <w:lang w:val="en-US" w:eastAsia="zh-CN" w:bidi="ar-SA"/>
    </w:rPr>
  </w:style>
  <w:style w:type="table" w:customStyle="1" w:styleId="25">
    <w:name w:val="网格型1"/>
    <w:basedOn w:val="1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6">
    <w:name w:val="15"/>
    <w:basedOn w:val="12"/>
    <w:qFormat/>
    <w:uiPriority w:val="0"/>
    <w:rPr>
      <w:rFonts w:hint="default" w:ascii="Times New Roman" w:hAnsi="Times New Roman" w:cs="Times New Roman"/>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中国平安保险(集团)股份有限公司</Company>
  <Pages>16</Pages>
  <Words>13111</Words>
  <Characters>14322</Characters>
  <Lines>109</Lines>
  <Paragraphs>30</Paragraphs>
  <TotalTime>0</TotalTime>
  <ScaleCrop>false</ScaleCrop>
  <LinksUpToDate>false</LinksUpToDate>
  <CharactersWithSpaces>14424</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2018-03-03T17:08:00Z</dcterms:created>
  <dc:creator>PINGAN</dc:creator>
  <cp:lastModifiedBy>马延</cp:lastModifiedBy>
  <cp:lastPrinted>2025-01-07T01:15:00Z</cp:lastPrinted>
  <dcterms:modified xsi:type="dcterms:W3CDTF">2026-03-11T07:21:17Z</dcterms:modified>
  <cp:revision>1072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0x01010077964DAAD6DE6644AD630E5E95CCDED8</vt:lpwstr>
  </property>
  <property fmtid="{D5CDD505-2E9C-101B-9397-08002B2CF9AE}" pid="3" name="KSOProductBuildVer">
    <vt:lpwstr>2052-12.1.0.21541</vt:lpwstr>
  </property>
  <property fmtid="{D5CDD505-2E9C-101B-9397-08002B2CF9AE}" pid="4" name="ICV">
    <vt:lpwstr>AA8F21030F944F4680167B384D99C09E_13</vt:lpwstr>
  </property>
  <property fmtid="{D5CDD505-2E9C-101B-9397-08002B2CF9AE}" pid="5" name="KSOTemplateDocerSaveRecord">
    <vt:lpwstr>eyJoZGlkIjoiOWU2MWNmZDY0MTlkNjYwMTBkMWJiNDYzOWU2MzBjMjciLCJ1c2VySWQiOiIxNTM5NTA0MjMwIn0=</vt:lpwstr>
  </property>
</Properties>
</file>