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B1D3A">
      <w:pPr>
        <w:jc w:val="center"/>
        <w:rPr>
          <w:rFonts w:ascii="黑体" w:eastAsia="黑体"/>
          <w:b/>
          <w:kern w:val="0"/>
          <w:sz w:val="84"/>
          <w:szCs w:val="84"/>
        </w:rPr>
      </w:pPr>
      <w:bookmarkStart w:id="6" w:name="_GoBack"/>
      <w:bookmarkEnd w:id="6"/>
    </w:p>
    <w:p w14:paraId="6B9062A7">
      <w:pPr>
        <w:jc w:val="center"/>
        <w:rPr>
          <w:rFonts w:ascii="黑体" w:eastAsia="黑体"/>
          <w:b/>
          <w:kern w:val="0"/>
          <w:sz w:val="84"/>
          <w:szCs w:val="84"/>
        </w:rPr>
      </w:pPr>
    </w:p>
    <w:p w14:paraId="588707FD">
      <w:pPr>
        <w:jc w:val="center"/>
        <w:rPr>
          <w:rFonts w:ascii="黑体" w:eastAsia="黑体"/>
          <w:b/>
          <w:kern w:val="0"/>
          <w:sz w:val="84"/>
          <w:szCs w:val="84"/>
        </w:rPr>
      </w:pPr>
    </w:p>
    <w:p w14:paraId="430624DD">
      <w:pPr>
        <w:jc w:val="center"/>
        <w:rPr>
          <w:rFonts w:eastAsia="黑体"/>
          <w:b/>
          <w:kern w:val="0"/>
          <w:sz w:val="84"/>
          <w:szCs w:val="84"/>
        </w:rPr>
      </w:pPr>
    </w:p>
    <w:p w14:paraId="6288FA8C">
      <w:pPr>
        <w:jc w:val="center"/>
        <w:rPr>
          <w:rFonts w:eastAsia="黑体"/>
          <w:b/>
          <w:kern w:val="0"/>
          <w:sz w:val="84"/>
          <w:szCs w:val="84"/>
        </w:rPr>
      </w:pPr>
    </w:p>
    <w:p w14:paraId="1521E236">
      <w:pPr>
        <w:jc w:val="center"/>
        <w:rPr>
          <w:rFonts w:eastAsia="黑体"/>
          <w:kern w:val="0"/>
          <w:sz w:val="84"/>
          <w:szCs w:val="84"/>
        </w:rPr>
      </w:pPr>
      <w:r>
        <w:rPr>
          <w:rFonts w:hint="eastAsia" w:eastAsia="黑体"/>
          <w:b/>
          <w:kern w:val="0"/>
          <w:sz w:val="84"/>
          <w:szCs w:val="84"/>
        </w:rPr>
        <w:t>综合授信额度合同</w:t>
      </w:r>
    </w:p>
    <w:p w14:paraId="1C41E5A5">
      <w:pPr>
        <w:rPr>
          <w:rFonts w:eastAsia="黑体"/>
          <w:kern w:val="0"/>
          <w:sz w:val="28"/>
          <w:szCs w:val="28"/>
        </w:rPr>
      </w:pPr>
    </w:p>
    <w:p w14:paraId="1D43ABCF">
      <w:pPr>
        <w:rPr>
          <w:rFonts w:eastAsia="黑体"/>
          <w:kern w:val="0"/>
          <w:sz w:val="28"/>
          <w:szCs w:val="28"/>
        </w:rPr>
        <w:sectPr>
          <w:footerReference r:id="rId7" w:type="first"/>
          <w:headerReference r:id="rId3" w:type="default"/>
          <w:footerReference r:id="rId5" w:type="default"/>
          <w:headerReference r:id="rId4" w:type="even"/>
          <w:footerReference r:id="rId6" w:type="even"/>
          <w:pgSz w:w="11906" w:h="16838"/>
          <w:pgMar w:top="1440" w:right="1797" w:bottom="1440" w:left="1797" w:header="851" w:footer="992" w:gutter="0"/>
          <w:cols w:space="425" w:num="1"/>
          <w:titlePg/>
          <w:docGrid w:linePitch="312" w:charSpace="0"/>
        </w:sectPr>
      </w:pPr>
    </w:p>
    <w:p w14:paraId="033EBA26">
      <w:pPr>
        <w:jc w:val="center"/>
        <w:rPr>
          <w:b/>
          <w:bCs/>
          <w:kern w:val="0"/>
          <w:sz w:val="36"/>
          <w:szCs w:val="36"/>
        </w:rPr>
      </w:pPr>
      <w:r>
        <w:rPr>
          <w:rFonts w:hint="eastAsia"/>
          <w:b/>
          <w:bCs/>
          <w:kern w:val="0"/>
          <w:sz w:val="36"/>
          <w:szCs w:val="36"/>
        </w:rPr>
        <w:t>综合授信额度合同</w:t>
      </w:r>
    </w:p>
    <w:p w14:paraId="1A62FA20">
      <w:pPr>
        <w:spacing w:line="360" w:lineRule="exact"/>
        <w:rPr>
          <w:kern w:val="0"/>
          <w:sz w:val="24"/>
        </w:rPr>
      </w:pPr>
    </w:p>
    <w:p w14:paraId="421A8A71">
      <w:pPr>
        <w:spacing w:line="360" w:lineRule="exact"/>
        <w:jc w:val="right"/>
        <w:rPr>
          <w:rFonts w:hint="default" w:eastAsia="宋体"/>
          <w:kern w:val="0"/>
          <w:szCs w:val="21"/>
          <w:lang w:val="en-US" w:eastAsia="zh-CN"/>
        </w:rPr>
      </w:pPr>
      <w:r>
        <w:rPr>
          <w:rFonts w:hint="eastAsia"/>
          <w:kern w:val="0"/>
          <w:szCs w:val="21"/>
        </w:rPr>
        <w:t>合同编号：</w:t>
      </w:r>
      <w:r>
        <w:rPr>
          <w:rFonts w:hint="eastAsia"/>
          <w:kern w:val="0"/>
          <w:szCs w:val="21"/>
          <w:lang w:val="en-US" w:eastAsia="zh-CN"/>
        </w:rPr>
        <w:t>平银{{所在分行缩写}}{{部门}}综字{{合同制作日期}}{{合同制作号}}</w:t>
      </w:r>
    </w:p>
    <w:p w14:paraId="305B3DA4">
      <w:pPr>
        <w:spacing w:line="360" w:lineRule="exact"/>
        <w:rPr>
          <w:kern w:val="0"/>
          <w:szCs w:val="21"/>
        </w:rPr>
      </w:pPr>
    </w:p>
    <w:p w14:paraId="4CC43F50">
      <w:pPr>
        <w:spacing w:line="360" w:lineRule="exact"/>
        <w:jc w:val="left"/>
        <w:rPr>
          <w:rFonts w:hint="default"/>
          <w:kern w:val="0"/>
          <w:szCs w:val="21"/>
          <w:lang w:val="en-US" w:eastAsia="zh-CN"/>
        </w:rPr>
      </w:pPr>
      <w:r>
        <w:rPr>
          <w:rFonts w:hint="eastAsia"/>
          <w:kern w:val="0"/>
          <w:szCs w:val="21"/>
        </w:rPr>
        <w:t>甲方（额度授予人）：平安银行股份有限公司</w:t>
      </w:r>
      <w:r>
        <w:rPr>
          <w:rFonts w:hint="eastAsia"/>
          <w:kern w:val="0"/>
          <w:szCs w:val="21"/>
          <w:u w:val="single"/>
          <w:lang w:val="en-US" w:eastAsia="zh-CN"/>
        </w:rPr>
        <w:t>{{所在分行}}</w:t>
      </w:r>
    </w:p>
    <w:p w14:paraId="270C1E36">
      <w:pPr>
        <w:spacing w:line="360" w:lineRule="exact"/>
        <w:jc w:val="left"/>
        <w:rPr>
          <w:rFonts w:hint="default"/>
          <w:kern w:val="0"/>
          <w:szCs w:val="21"/>
          <w:lang w:val="en-US" w:eastAsia="zh-CN"/>
        </w:rPr>
      </w:pPr>
      <w:r>
        <w:rPr>
          <w:rFonts w:hint="eastAsia"/>
          <w:kern w:val="0"/>
          <w:szCs w:val="21"/>
        </w:rPr>
        <w:t>住所（地址）：</w:t>
      </w:r>
      <w:r>
        <w:rPr>
          <w:rFonts w:hint="eastAsia"/>
          <w:kern w:val="0"/>
          <w:szCs w:val="21"/>
          <w:u w:val="single"/>
          <w:lang w:val="en-US" w:eastAsia="zh-CN"/>
        </w:rPr>
        <w:t>{{分行地址}}</w:t>
      </w:r>
    </w:p>
    <w:p w14:paraId="10408D6B">
      <w:pPr>
        <w:spacing w:line="360" w:lineRule="exact"/>
        <w:jc w:val="left"/>
        <w:rPr>
          <w:rFonts w:hint="eastAsia"/>
          <w:kern w:val="0"/>
          <w:szCs w:val="21"/>
        </w:rPr>
      </w:pPr>
      <w:r>
        <w:rPr>
          <w:rFonts w:hint="eastAsia"/>
          <w:kern w:val="0"/>
          <w:szCs w:val="21"/>
        </w:rPr>
        <w:t>法定代表人（负责人）：</w:t>
      </w:r>
      <w:r>
        <w:rPr>
          <w:rFonts w:hint="eastAsia"/>
          <w:kern w:val="0"/>
          <w:szCs w:val="21"/>
          <w:u w:val="single"/>
          <w:lang w:val="en-US" w:eastAsia="zh-CN"/>
        </w:rPr>
        <w:t>{{分行法人}}</w:t>
      </w:r>
      <w:r>
        <w:rPr>
          <w:rFonts w:hint="eastAsia"/>
          <w:kern w:val="0"/>
          <w:szCs w:val="21"/>
        </w:rPr>
        <w:t xml:space="preserve"> 电话：</w:t>
      </w:r>
      <w:r>
        <w:rPr>
          <w:rFonts w:hint="eastAsia"/>
          <w:kern w:val="0"/>
          <w:szCs w:val="21"/>
          <w:u w:val="single"/>
          <w:lang w:val="en-US" w:eastAsia="zh-CN"/>
        </w:rPr>
        <w:t>{{分行座机电话}}</w:t>
      </w:r>
    </w:p>
    <w:p w14:paraId="02591256">
      <w:pPr>
        <w:spacing w:line="360" w:lineRule="exact"/>
        <w:jc w:val="left"/>
        <w:rPr>
          <w:rFonts w:hint="eastAsia"/>
          <w:kern w:val="0"/>
          <w:szCs w:val="21"/>
        </w:rPr>
      </w:pPr>
      <w:r>
        <w:rPr>
          <w:rFonts w:hint="eastAsia"/>
          <w:kern w:val="0"/>
          <w:szCs w:val="21"/>
        </w:rPr>
        <w:t>联系人：</w:t>
      </w:r>
      <w:r>
        <w:rPr>
          <w:rFonts w:hint="eastAsia"/>
          <w:kern w:val="0"/>
          <w:szCs w:val="21"/>
          <w:u w:val="single"/>
          <w:lang w:val="en-US" w:eastAsia="zh-CN"/>
        </w:rPr>
        <w:t>{{客户经理}}</w:t>
      </w:r>
      <w:r>
        <w:rPr>
          <w:rFonts w:hint="eastAsia"/>
          <w:kern w:val="0"/>
          <w:szCs w:val="21"/>
        </w:rPr>
        <w:t xml:space="preserve"> 部门：</w:t>
      </w:r>
      <w:r>
        <w:rPr>
          <w:rFonts w:hint="eastAsia"/>
          <w:kern w:val="0"/>
          <w:szCs w:val="21"/>
          <w:u w:val="single"/>
          <w:lang w:val="en-US" w:eastAsia="zh-CN"/>
        </w:rPr>
        <w:t>{{部门}}</w:t>
      </w:r>
      <w:r>
        <w:rPr>
          <w:rFonts w:hint="eastAsia"/>
          <w:kern w:val="0"/>
          <w:szCs w:val="21"/>
        </w:rPr>
        <w:t xml:space="preserve"> 职位：</w:t>
      </w:r>
      <w:r>
        <w:rPr>
          <w:rFonts w:hint="eastAsia"/>
          <w:kern w:val="0"/>
          <w:szCs w:val="21"/>
          <w:u w:val="single"/>
          <w:lang w:val="en-US" w:eastAsia="zh-CN"/>
        </w:rPr>
        <w:t>{{职位}}</w:t>
      </w:r>
    </w:p>
    <w:p w14:paraId="0F52D2C6">
      <w:pPr>
        <w:spacing w:line="360" w:lineRule="exact"/>
        <w:jc w:val="left"/>
        <w:rPr>
          <w:rFonts w:hint="default"/>
          <w:kern w:val="0"/>
          <w:szCs w:val="21"/>
          <w:lang w:val="en-US"/>
        </w:rPr>
      </w:pPr>
      <w:r>
        <w:rPr>
          <w:rFonts w:hint="eastAsia"/>
          <w:kern w:val="0"/>
          <w:szCs w:val="21"/>
        </w:rPr>
        <w:t>联系电话：</w:t>
      </w:r>
      <w:r>
        <w:rPr>
          <w:rFonts w:hint="eastAsia"/>
          <w:kern w:val="0"/>
          <w:szCs w:val="21"/>
          <w:u w:val="single"/>
          <w:lang w:val="en-US" w:eastAsia="zh-CN"/>
        </w:rPr>
        <w:t>{{联系电话}}</w:t>
      </w:r>
      <w:r>
        <w:rPr>
          <w:rFonts w:hint="eastAsia"/>
          <w:kern w:val="0"/>
          <w:szCs w:val="21"/>
          <w:lang w:val="en-US" w:eastAsia="zh-CN"/>
        </w:rPr>
        <w:t xml:space="preserve"> </w:t>
      </w:r>
      <w:r>
        <w:rPr>
          <w:rFonts w:hint="eastAsia"/>
          <w:kern w:val="0"/>
          <w:szCs w:val="21"/>
        </w:rPr>
        <w:t>邮箱：</w:t>
      </w:r>
      <w:r>
        <w:rPr>
          <w:rFonts w:hint="eastAsia"/>
          <w:kern w:val="0"/>
          <w:szCs w:val="21"/>
          <w:u w:val="single"/>
          <w:lang w:val="en-US" w:eastAsia="zh-CN"/>
        </w:rPr>
        <w:t>{{邮箱}}</w:t>
      </w:r>
    </w:p>
    <w:p w14:paraId="6C5BA6C5">
      <w:pPr>
        <w:spacing w:line="360" w:lineRule="exact"/>
        <w:jc w:val="left"/>
        <w:rPr>
          <w:rFonts w:hint="eastAsia"/>
          <w:kern w:val="0"/>
          <w:szCs w:val="21"/>
        </w:rPr>
      </w:pPr>
    </w:p>
    <w:p w14:paraId="4BFF9BF5">
      <w:pPr>
        <w:spacing w:line="360" w:lineRule="exact"/>
        <w:jc w:val="left"/>
        <w:rPr>
          <w:rFonts w:hint="eastAsia"/>
          <w:kern w:val="0"/>
          <w:szCs w:val="21"/>
          <w:lang w:val="en-US" w:eastAsia="zh-CN"/>
        </w:rPr>
      </w:pPr>
      <w:r>
        <w:rPr>
          <w:rFonts w:hint="eastAsia"/>
          <w:kern w:val="0"/>
          <w:szCs w:val="21"/>
        </w:rPr>
        <w:t>乙方（额度申请人）：</w:t>
      </w:r>
      <w:r>
        <w:rPr>
          <w:rFonts w:hint="eastAsia"/>
          <w:kern w:val="0"/>
          <w:szCs w:val="21"/>
          <w:u w:val="single"/>
          <w:lang w:val="en-US" w:eastAsia="zh-CN"/>
        </w:rPr>
        <w:t>{{企业名称}}</w:t>
      </w:r>
    </w:p>
    <w:p w14:paraId="51492DA5">
      <w:pPr>
        <w:spacing w:line="360" w:lineRule="exact"/>
        <w:jc w:val="left"/>
        <w:rPr>
          <w:rFonts w:hint="default"/>
          <w:kern w:val="0"/>
          <w:szCs w:val="21"/>
          <w:lang w:val="en-US" w:eastAsia="zh-CN"/>
        </w:rPr>
      </w:pPr>
      <w:r>
        <w:rPr>
          <w:rFonts w:hint="eastAsia"/>
          <w:kern w:val="0"/>
          <w:szCs w:val="21"/>
        </w:rPr>
        <w:t>住所（地址）：</w:t>
      </w:r>
      <w:r>
        <w:rPr>
          <w:rFonts w:hint="eastAsia"/>
          <w:kern w:val="0"/>
          <w:szCs w:val="21"/>
          <w:u w:val="single"/>
          <w:lang w:val="en-US" w:eastAsia="zh-CN"/>
        </w:rPr>
        <w:t>{{企业地址}}</w:t>
      </w:r>
    </w:p>
    <w:p w14:paraId="4F58C4D6">
      <w:pPr>
        <w:spacing w:line="360" w:lineRule="exact"/>
        <w:jc w:val="left"/>
        <w:rPr>
          <w:rFonts w:hint="default"/>
          <w:kern w:val="0"/>
          <w:szCs w:val="21"/>
          <w:lang w:val="en-US" w:eastAsia="zh-CN"/>
        </w:rPr>
      </w:pPr>
      <w:r>
        <w:rPr>
          <w:rFonts w:hint="eastAsia"/>
          <w:kern w:val="0"/>
          <w:szCs w:val="21"/>
        </w:rPr>
        <w:t>法定代表人（负责人）：</w:t>
      </w:r>
      <w:r>
        <w:rPr>
          <w:rFonts w:hint="eastAsia"/>
          <w:kern w:val="0"/>
          <w:szCs w:val="21"/>
          <w:u w:val="single"/>
          <w:lang w:val="en-US" w:eastAsia="zh-CN"/>
        </w:rPr>
        <w:t>{{企业法人}}</w:t>
      </w:r>
      <w:r>
        <w:rPr>
          <w:rFonts w:hint="eastAsia"/>
          <w:kern w:val="0"/>
          <w:szCs w:val="21"/>
        </w:rPr>
        <w:t xml:space="preserve"> 电话：</w:t>
      </w:r>
      <w:r>
        <w:rPr>
          <w:rFonts w:hint="eastAsia"/>
          <w:kern w:val="0"/>
          <w:szCs w:val="21"/>
          <w:u w:val="single"/>
          <w:lang w:val="en-US" w:eastAsia="zh-CN"/>
        </w:rPr>
        <w:t>{{企业法人电话}}</w:t>
      </w:r>
    </w:p>
    <w:p w14:paraId="7E25DC06">
      <w:pPr>
        <w:spacing w:line="360" w:lineRule="exact"/>
        <w:jc w:val="left"/>
        <w:rPr>
          <w:rFonts w:hint="default" w:eastAsia="宋体"/>
          <w:kern w:val="0"/>
          <w:szCs w:val="21"/>
          <w:lang w:val="en-US" w:eastAsia="zh-CN"/>
        </w:rPr>
      </w:pPr>
      <w:r>
        <w:rPr>
          <w:rFonts w:hint="eastAsia"/>
          <w:kern w:val="0"/>
          <w:szCs w:val="21"/>
        </w:rPr>
        <w:t>联系人：</w:t>
      </w:r>
      <w:r>
        <w:rPr>
          <w:rFonts w:hint="eastAsia"/>
          <w:kern w:val="0"/>
          <w:szCs w:val="21"/>
          <w:u w:val="single"/>
          <w:lang w:val="en-US" w:eastAsia="zh-CN"/>
        </w:rPr>
        <w:t>{{企业联系人}}</w:t>
      </w:r>
      <w:r>
        <w:rPr>
          <w:rFonts w:hint="eastAsia"/>
          <w:kern w:val="0"/>
          <w:szCs w:val="21"/>
          <w:lang w:val="en-US" w:eastAsia="zh-CN"/>
        </w:rPr>
        <w:t xml:space="preserve"> </w:t>
      </w:r>
      <w:r>
        <w:rPr>
          <w:rFonts w:hint="eastAsia"/>
          <w:kern w:val="0"/>
          <w:szCs w:val="21"/>
        </w:rPr>
        <w:t>部门：</w:t>
      </w:r>
      <w:r>
        <w:rPr>
          <w:rFonts w:hint="eastAsia"/>
          <w:kern w:val="0"/>
          <w:szCs w:val="21"/>
          <w:u w:val="single"/>
          <w:lang w:val="en-US" w:eastAsia="zh-CN"/>
        </w:rPr>
        <w:t>{{企业联系人部门}}</w:t>
      </w:r>
      <w:r>
        <w:rPr>
          <w:rFonts w:hint="eastAsia"/>
          <w:kern w:val="0"/>
          <w:szCs w:val="21"/>
        </w:rPr>
        <w:t xml:space="preserve"> 职位：</w:t>
      </w:r>
      <w:r>
        <w:rPr>
          <w:rFonts w:hint="eastAsia"/>
          <w:kern w:val="0"/>
          <w:szCs w:val="21"/>
          <w:u w:val="single"/>
          <w:lang w:val="en-US" w:eastAsia="zh-CN"/>
        </w:rPr>
        <w:t>{{企业联系人职位}</w:t>
      </w:r>
      <w:r>
        <w:rPr>
          <w:rFonts w:hint="eastAsia"/>
          <w:kern w:val="0"/>
          <w:szCs w:val="21"/>
          <w:lang w:val="en-US" w:eastAsia="zh-CN"/>
        </w:rPr>
        <w:t>}</w:t>
      </w:r>
    </w:p>
    <w:p w14:paraId="626A02BC">
      <w:pPr>
        <w:spacing w:line="360" w:lineRule="exact"/>
        <w:jc w:val="left"/>
        <w:rPr>
          <w:rFonts w:hint="default" w:ascii="宋体" w:hAnsi="宋体" w:eastAsia="宋体"/>
          <w:kern w:val="0"/>
          <w:sz w:val="21"/>
          <w:szCs w:val="21"/>
          <w:u w:val="single"/>
          <w:lang w:val="en-US" w:eastAsia="zh-CN"/>
        </w:rPr>
      </w:pPr>
      <w:r>
        <w:rPr>
          <w:rFonts w:hint="eastAsia"/>
          <w:kern w:val="0"/>
          <w:szCs w:val="21"/>
        </w:rPr>
        <w:t>联系电话：</w:t>
      </w:r>
      <w:r>
        <w:rPr>
          <w:rFonts w:hint="eastAsia"/>
          <w:kern w:val="0"/>
          <w:szCs w:val="21"/>
          <w:u w:val="single"/>
          <w:lang w:val="en-US" w:eastAsia="zh-CN"/>
        </w:rPr>
        <w:t>{{企业联系人电话}}</w:t>
      </w:r>
      <w:r>
        <w:rPr>
          <w:rFonts w:hint="eastAsia"/>
          <w:kern w:val="0"/>
          <w:szCs w:val="21"/>
        </w:rPr>
        <w:t xml:space="preserve"> 邮箱：</w:t>
      </w:r>
      <w:r>
        <w:rPr>
          <w:rFonts w:hint="eastAsia"/>
          <w:kern w:val="0"/>
          <w:szCs w:val="21"/>
          <w:u w:val="single"/>
          <w:lang w:val="en-US" w:eastAsia="zh-CN"/>
        </w:rPr>
        <w:t>{{企业联系人邮箱}}</w:t>
      </w:r>
    </w:p>
    <w:p w14:paraId="093946F2">
      <w:pPr>
        <w:spacing w:line="360" w:lineRule="exact"/>
        <w:rPr>
          <w:kern w:val="0"/>
          <w:szCs w:val="21"/>
        </w:rPr>
      </w:pPr>
    </w:p>
    <w:p w14:paraId="4A4C09A0">
      <w:pPr>
        <w:spacing w:line="360" w:lineRule="exact"/>
        <w:ind w:firstLine="420"/>
        <w:rPr>
          <w:kern w:val="0"/>
          <w:szCs w:val="21"/>
        </w:rPr>
      </w:pPr>
      <w:r>
        <w:rPr>
          <w:rFonts w:hint="eastAsia"/>
          <w:kern w:val="0"/>
          <w:szCs w:val="21"/>
        </w:rPr>
        <w:t>乙方向甲方申请综合授信额度，双方根据《</w:t>
      </w:r>
      <w:r>
        <w:rPr>
          <w:rFonts w:hint="eastAsia" w:ascii="宋体" w:hAnsi="宋体"/>
          <w:kern w:val="0"/>
          <w:szCs w:val="21"/>
        </w:rPr>
        <w:t>中华人民共和国民法典</w:t>
      </w:r>
      <w:r>
        <w:rPr>
          <w:rFonts w:hint="eastAsia"/>
          <w:kern w:val="0"/>
          <w:szCs w:val="21"/>
        </w:rPr>
        <w:t>》及有关法律法规，经协商一致，特订立本合同；为免疑义，本合同中若涉及选择项的，请在选择项内打“√”，并对不选项打“Ｘ”。</w:t>
      </w:r>
    </w:p>
    <w:p w14:paraId="312E82E3">
      <w:pPr>
        <w:spacing w:line="360" w:lineRule="exact"/>
        <w:ind w:firstLine="420"/>
        <w:rPr>
          <w:kern w:val="0"/>
          <w:szCs w:val="21"/>
        </w:rPr>
      </w:pPr>
    </w:p>
    <w:p w14:paraId="35593564">
      <w:pPr>
        <w:pStyle w:val="16"/>
        <w:numPr>
          <w:ilvl w:val="0"/>
          <w:numId w:val="1"/>
        </w:numPr>
        <w:spacing w:line="360" w:lineRule="exact"/>
        <w:ind w:firstLineChars="0"/>
        <w:jc w:val="center"/>
        <w:outlineLvl w:val="0"/>
        <w:rPr>
          <w:b/>
          <w:bCs/>
          <w:kern w:val="0"/>
          <w:szCs w:val="21"/>
        </w:rPr>
      </w:pPr>
      <w:r>
        <w:rPr>
          <w:rFonts w:hint="eastAsia"/>
          <w:b/>
          <w:bCs/>
          <w:kern w:val="0"/>
          <w:szCs w:val="21"/>
        </w:rPr>
        <w:t>授信额度及品种</w:t>
      </w:r>
    </w:p>
    <w:p w14:paraId="0E70FEC2">
      <w:pPr>
        <w:pStyle w:val="16"/>
        <w:numPr>
          <w:ilvl w:val="1"/>
          <w:numId w:val="2"/>
        </w:numPr>
        <w:spacing w:line="360" w:lineRule="exact"/>
        <w:ind w:firstLineChars="0"/>
        <w:rPr>
          <w:kern w:val="0"/>
          <w:szCs w:val="21"/>
        </w:rPr>
      </w:pPr>
      <w:r>
        <w:rPr>
          <w:rFonts w:hint="eastAsia"/>
          <w:kern w:val="0"/>
          <w:szCs w:val="21"/>
        </w:rPr>
        <w:t>综合授信额度金额：受限于本合同项下条件与条款，甲方同意授予乙方（币种）</w:t>
      </w:r>
      <w:r>
        <w:rPr>
          <w:rFonts w:hint="eastAsia"/>
          <w:kern w:val="0"/>
          <w:szCs w:val="21"/>
          <w:u w:val="single"/>
          <w:lang w:val="en-US" w:eastAsia="zh-CN"/>
        </w:rPr>
        <w:t>{{币种}}</w:t>
      </w:r>
      <w:r>
        <w:rPr>
          <w:rFonts w:hint="eastAsia"/>
          <w:kern w:val="0"/>
          <w:szCs w:val="21"/>
        </w:rPr>
        <w:t>（小写）</w:t>
      </w:r>
      <w:r>
        <w:rPr>
          <w:rFonts w:hint="eastAsia" w:ascii="宋体" w:hAnsi="宋体"/>
          <w:kern w:val="0"/>
          <w:szCs w:val="21"/>
          <w:u w:val="single"/>
          <w:lang w:val="en-US" w:eastAsia="zh-CN"/>
        </w:rPr>
        <w:t>{{批复金额}}</w:t>
      </w:r>
      <w:r>
        <w:rPr>
          <w:rFonts w:hint="eastAsia" w:ascii="宋体" w:hAnsi="宋体"/>
          <w:kern w:val="0"/>
          <w:szCs w:val="21"/>
          <w:u w:val="none"/>
          <w:lang w:val="en-US" w:eastAsia="zh-CN"/>
        </w:rPr>
        <w:t>元</w:t>
      </w:r>
      <w:r>
        <w:rPr>
          <w:rFonts w:hint="eastAsia"/>
          <w:kern w:val="0"/>
          <w:szCs w:val="21"/>
        </w:rPr>
        <w:t>（大写）</w:t>
      </w:r>
      <w:r>
        <w:rPr>
          <w:rFonts w:hint="eastAsia"/>
          <w:kern w:val="0"/>
          <w:szCs w:val="21"/>
          <w:u w:val="single"/>
          <w:lang w:val="en-US" w:eastAsia="zh-CN"/>
        </w:rPr>
        <w:t>{{批复金额大写}}</w:t>
      </w:r>
      <w:r>
        <w:rPr>
          <w:rFonts w:hint="eastAsia"/>
          <w:kern w:val="0"/>
          <w:szCs w:val="21"/>
        </w:rPr>
        <w:t>的综合授信额度。本额度可适用于多币种授信。人民币以外的币种汇率按各具体业务实际发生时甲方公布的外汇牌价折算。</w:t>
      </w:r>
    </w:p>
    <w:p w14:paraId="56E80F10">
      <w:pPr>
        <w:pStyle w:val="16"/>
        <w:numPr>
          <w:ilvl w:val="1"/>
          <w:numId w:val="2"/>
        </w:numPr>
        <w:spacing w:line="360" w:lineRule="exact"/>
        <w:ind w:firstLineChars="0"/>
        <w:rPr>
          <w:kern w:val="0"/>
          <w:szCs w:val="21"/>
        </w:rPr>
      </w:pPr>
      <w:r>
        <w:rPr>
          <w:rFonts w:hint="eastAsia"/>
          <w:kern w:val="0"/>
          <w:szCs w:val="21"/>
        </w:rPr>
        <w:t>综合授信额度期限为以下第</w:t>
      </w:r>
      <w:r>
        <w:rPr>
          <w:rFonts w:hint="eastAsia"/>
          <w:kern w:val="0"/>
          <w:szCs w:val="21"/>
          <w:u w:val="single"/>
          <w:lang w:eastAsia="zh-CN"/>
        </w:rPr>
        <w:t>（</w:t>
      </w:r>
      <w:r>
        <w:rPr>
          <w:rFonts w:hint="eastAsia"/>
          <w:kern w:val="0"/>
          <w:szCs w:val="21"/>
          <w:u w:val="single"/>
          <w:lang w:val="en-US" w:eastAsia="zh-CN"/>
        </w:rPr>
        <w:t>1</w:t>
      </w:r>
      <w:r>
        <w:rPr>
          <w:rFonts w:hint="eastAsia"/>
          <w:kern w:val="0"/>
          <w:szCs w:val="21"/>
          <w:u w:val="single"/>
          <w:lang w:eastAsia="zh-CN"/>
        </w:rPr>
        <w:t>）</w:t>
      </w:r>
      <w:r>
        <w:rPr>
          <w:rFonts w:hint="eastAsia"/>
          <w:kern w:val="0"/>
          <w:szCs w:val="21"/>
        </w:rPr>
        <w:t>项：</w:t>
      </w:r>
    </w:p>
    <w:p w14:paraId="1E89D442">
      <w:pPr>
        <w:pStyle w:val="16"/>
        <w:numPr>
          <w:ilvl w:val="0"/>
          <w:numId w:val="3"/>
        </w:numPr>
        <w:spacing w:line="360" w:lineRule="exact"/>
        <w:ind w:left="1134" w:hanging="644" w:firstLineChars="0"/>
        <w:rPr>
          <w:kern w:val="0"/>
          <w:szCs w:val="21"/>
        </w:rPr>
      </w:pPr>
      <w:r>
        <w:rPr>
          <w:rFonts w:hint="eastAsia"/>
          <w:kern w:val="0"/>
          <w:szCs w:val="21"/>
        </w:rPr>
        <w:t>自</w:t>
      </w:r>
      <w:r>
        <w:rPr>
          <w:rFonts w:hint="eastAsia"/>
          <w:kern w:val="0"/>
          <w:szCs w:val="21"/>
          <w:lang w:val="en-US" w:eastAsia="zh-CN"/>
        </w:rPr>
        <w:t>{{额度启用日期}}</w:t>
      </w:r>
      <w:r>
        <w:rPr>
          <w:kern w:val="0"/>
          <w:szCs w:val="21"/>
        </w:rPr>
        <w:t>____</w:t>
      </w:r>
      <w:r>
        <w:rPr>
          <w:rFonts w:hint="eastAsia"/>
          <w:kern w:val="0"/>
          <w:szCs w:val="21"/>
        </w:rPr>
        <w:t>日起至</w:t>
      </w:r>
      <w:r>
        <w:rPr>
          <w:rFonts w:hint="eastAsia"/>
          <w:kern w:val="0"/>
          <w:szCs w:val="21"/>
          <w:lang w:val="en-US" w:eastAsia="zh-CN"/>
        </w:rPr>
        <w:t>{{额度到期日期}}</w:t>
      </w:r>
      <w:r>
        <w:rPr>
          <w:kern w:val="0"/>
          <w:szCs w:val="21"/>
        </w:rPr>
        <w:t>____</w:t>
      </w:r>
      <w:r>
        <w:rPr>
          <w:rFonts w:hint="eastAsia"/>
          <w:kern w:val="0"/>
          <w:szCs w:val="21"/>
        </w:rPr>
        <w:t>日。</w:t>
      </w:r>
    </w:p>
    <w:p w14:paraId="3684F084">
      <w:pPr>
        <w:pStyle w:val="16"/>
        <w:numPr>
          <w:ilvl w:val="0"/>
          <w:numId w:val="3"/>
        </w:numPr>
        <w:spacing w:line="360" w:lineRule="exact"/>
        <w:ind w:left="1134" w:hanging="644" w:firstLineChars="0"/>
        <w:rPr>
          <w:kern w:val="0"/>
          <w:szCs w:val="21"/>
        </w:rPr>
      </w:pPr>
      <w:r>
        <w:rPr>
          <w:szCs w:val="21"/>
        </w:rPr>
        <w:t xml:space="preserve">______ </w:t>
      </w:r>
      <w:r>
        <w:rPr>
          <w:rFonts w:hint="eastAsia"/>
          <w:kern w:val="0"/>
          <w:szCs w:val="21"/>
        </w:rPr>
        <w:t>□ 个月</w:t>
      </w:r>
      <w:r>
        <w:rPr>
          <w:kern w:val="0"/>
          <w:szCs w:val="21"/>
        </w:rPr>
        <w:t xml:space="preserve">  </w:t>
      </w:r>
      <w:r>
        <w:rPr>
          <w:rFonts w:hint="eastAsia"/>
          <w:kern w:val="0"/>
          <w:szCs w:val="21"/>
        </w:rPr>
        <w:t>□ 年，自本合同生效之日计算。</w:t>
      </w:r>
    </w:p>
    <w:p w14:paraId="2CB8682A">
      <w:pPr>
        <w:pStyle w:val="16"/>
        <w:spacing w:line="360" w:lineRule="exact"/>
        <w:ind w:left="531" w:firstLine="0" w:firstLineChars="0"/>
        <w:rPr>
          <w:b/>
          <w:kern w:val="0"/>
          <w:szCs w:val="21"/>
        </w:rPr>
      </w:pPr>
      <w:r>
        <w:rPr>
          <w:rFonts w:hint="eastAsia"/>
          <w:kern w:val="0"/>
          <w:szCs w:val="21"/>
        </w:rPr>
        <w:t>额度期限内，额度</w:t>
      </w:r>
      <w:r>
        <w:rPr>
          <w:kern w:val="0"/>
          <w:szCs w:val="21"/>
        </w:rPr>
        <w:t xml:space="preserve">  </w:t>
      </w:r>
      <w:r>
        <w:rPr>
          <w:rFonts w:hint="eastAsia"/>
          <w:kern w:val="0"/>
          <w:szCs w:val="21"/>
          <w:lang w:eastAsia="zh-CN"/>
        </w:rPr>
        <w:t>☑</w:t>
      </w:r>
      <w:r>
        <w:rPr>
          <w:rFonts w:hint="eastAsia"/>
          <w:kern w:val="0"/>
          <w:szCs w:val="21"/>
        </w:rPr>
        <w:t xml:space="preserve"> 可循环使用</w:t>
      </w:r>
      <w:r>
        <w:rPr>
          <w:kern w:val="0"/>
          <w:szCs w:val="21"/>
        </w:rPr>
        <w:t xml:space="preserve">  </w:t>
      </w:r>
      <w:r>
        <w:rPr>
          <w:rFonts w:hint="eastAsia"/>
          <w:kern w:val="0"/>
          <w:szCs w:val="21"/>
        </w:rPr>
        <w:t>□ 不可循环使用，但额度内各种授信品种余额合计不得超过综合授信额度金额。额度期限届满后，未使用的额度自动失效。</w:t>
      </w:r>
      <w:r>
        <w:rPr>
          <w:rFonts w:hint="eastAsia"/>
          <w:b/>
          <w:kern w:val="0"/>
          <w:szCs w:val="21"/>
        </w:rPr>
        <w:t>为免疑义，本合同中提及的额度期限是指额度项下具体授信的发生期间（即债权确定期间），额度项下具体授信的起始日期必须在额度期限内，具体授信的终止日期可以超出额度期限，具体授信的起始日期及终止日期以具体授信业务合同的约定为准。</w:t>
      </w:r>
    </w:p>
    <w:p w14:paraId="52A4AA9F">
      <w:pPr>
        <w:pStyle w:val="16"/>
        <w:numPr>
          <w:ilvl w:val="1"/>
          <w:numId w:val="2"/>
        </w:numPr>
        <w:spacing w:line="360" w:lineRule="exact"/>
        <w:ind w:firstLineChars="0"/>
        <w:rPr>
          <w:kern w:val="0"/>
          <w:szCs w:val="21"/>
        </w:rPr>
      </w:pPr>
      <w:r>
        <w:rPr>
          <w:rFonts w:hint="eastAsia"/>
          <w:kern w:val="0"/>
          <w:szCs w:val="21"/>
        </w:rPr>
        <w:t>本授信额度的授信方式包括但不限于如下方式：贷款、拆借、票据承兑和贴现、透支、保理、担保、贷款承诺、开立信用证、黄金租赁、衍生产品</w:t>
      </w:r>
      <w:r>
        <w:rPr>
          <w:rFonts w:hint="eastAsia"/>
          <w:kern w:val="0"/>
          <w:szCs w:val="21"/>
          <w:lang w:eastAsia="zh-CN"/>
        </w:rPr>
        <w:t>、分离式保函</w:t>
      </w:r>
      <w:r>
        <w:rPr>
          <w:rFonts w:hint="eastAsia"/>
          <w:kern w:val="0"/>
          <w:szCs w:val="21"/>
        </w:rPr>
        <w:t>等。其中衍生产品的基本种类包括远期、期货、掉期（互换）和期权，衍生产品还包括具有远期、期货、掉期（互换）和期权中一种或多种特征的结构化金融工具。具体以甲方届时实际可提供的业务品种为准。</w:t>
      </w:r>
    </w:p>
    <w:p w14:paraId="550ED28F">
      <w:pPr>
        <w:pStyle w:val="16"/>
        <w:numPr>
          <w:ilvl w:val="1"/>
          <w:numId w:val="2"/>
        </w:numPr>
        <w:spacing w:line="360" w:lineRule="exact"/>
        <w:ind w:firstLineChars="0"/>
        <w:rPr>
          <w:kern w:val="0"/>
          <w:szCs w:val="21"/>
        </w:rPr>
      </w:pPr>
      <w:r>
        <w:rPr>
          <w:rFonts w:hint="eastAsia"/>
          <w:kern w:val="0"/>
          <w:szCs w:val="21"/>
        </w:rPr>
        <w:t>额度项下具体授信品种</w:t>
      </w:r>
      <w:r>
        <w:rPr>
          <w:kern w:val="0"/>
          <w:szCs w:val="21"/>
        </w:rPr>
        <w:t>/</w:t>
      </w:r>
      <w:r>
        <w:rPr>
          <w:rFonts w:hint="eastAsia"/>
          <w:kern w:val="0"/>
          <w:szCs w:val="21"/>
        </w:rPr>
        <w:t>授信方式、金额、利率、费率及期限，以单项具体业务授信合同及借款借据或其他授信凭证为准。</w:t>
      </w:r>
    </w:p>
    <w:p w14:paraId="196241FA">
      <w:pPr>
        <w:pStyle w:val="16"/>
        <w:numPr>
          <w:ilvl w:val="1"/>
          <w:numId w:val="2"/>
        </w:numPr>
        <w:spacing w:line="360" w:lineRule="exact"/>
        <w:ind w:firstLineChars="0"/>
        <w:rPr>
          <w:b/>
          <w:kern w:val="0"/>
          <w:szCs w:val="21"/>
        </w:rPr>
      </w:pPr>
      <w:r>
        <w:rPr>
          <w:rFonts w:hint="eastAsia"/>
          <w:b/>
          <w:kern w:val="0"/>
          <w:szCs w:val="21"/>
        </w:rPr>
        <w:t>额度项下的转授信</w:t>
      </w:r>
    </w:p>
    <w:p w14:paraId="6452D198">
      <w:pPr>
        <w:pStyle w:val="16"/>
        <w:spacing w:line="360" w:lineRule="exact"/>
        <w:ind w:left="531" w:firstLine="0" w:firstLineChars="0"/>
        <w:rPr>
          <w:b/>
          <w:kern w:val="0"/>
          <w:szCs w:val="21"/>
        </w:rPr>
      </w:pPr>
      <w:r>
        <w:rPr>
          <w:rFonts w:hint="eastAsia"/>
          <w:b/>
          <w:kern w:val="0"/>
          <w:szCs w:val="21"/>
        </w:rPr>
        <w:t>乙方同意将本授信额度转授信给下述第三人使用（即下列主体也可以使用本授信额度），并对下列主体在本额度项下所发生的全部债务（包括或有债务）本金、利息、罚息及复利、实现债权的费用（包括但不限于诉讼费用、律师费用、公证费用、执行费用等）、因债务人违约而给甲方造成的其他损失和费用承担连带保证责任，保证期间从具体业务授信合同生效日起直至该具体业务授信合同约定的债务履行期限届满（包括债务提前到期）之日后三年。</w:t>
      </w:r>
    </w:p>
    <w:p w14:paraId="02040C3B">
      <w:pPr>
        <w:pStyle w:val="16"/>
        <w:spacing w:line="360" w:lineRule="exact"/>
        <w:ind w:left="531" w:firstLine="0" w:firstLineChars="0"/>
        <w:rPr>
          <w:kern w:val="0"/>
          <w:szCs w:val="21"/>
        </w:rPr>
      </w:pPr>
      <w:r>
        <w:rPr>
          <w:rFonts w:hint="eastAsia"/>
          <w:kern w:val="0"/>
          <w:szCs w:val="21"/>
        </w:rPr>
        <w:t>具体转授信对象和金额为：</w:t>
      </w:r>
    </w:p>
    <w:p w14:paraId="60E46F82">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1F2553EE">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0B986E1E">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36A14EF3">
      <w:pPr>
        <w:spacing w:line="360" w:lineRule="exact"/>
        <w:ind w:left="991" w:leftChars="270" w:hanging="424" w:hangingChars="202"/>
        <w:rPr>
          <w:kern w:val="0"/>
          <w:szCs w:val="21"/>
          <w:u w:val="single"/>
        </w:rPr>
      </w:pPr>
      <w:r>
        <w:rPr>
          <w:rFonts w:hint="eastAsia"/>
          <w:kern w:val="0"/>
          <w:szCs w:val="21"/>
        </w:rPr>
        <w:t>□</w:t>
      </w:r>
      <w:r>
        <w:rPr>
          <w:kern w:val="0"/>
          <w:szCs w:val="21"/>
        </w:rPr>
        <w:tab/>
      </w:r>
      <w:r>
        <w:rPr>
          <w:kern w:val="0"/>
          <w:szCs w:val="21"/>
        </w:rPr>
        <w:t>_____________________________________________________________________</w:t>
      </w:r>
    </w:p>
    <w:p w14:paraId="6F0F5C27">
      <w:pPr>
        <w:spacing w:line="360" w:lineRule="exact"/>
        <w:ind w:left="991" w:leftChars="270" w:hanging="424" w:hangingChars="202"/>
        <w:rPr>
          <w:kern w:val="0"/>
          <w:szCs w:val="21"/>
          <w:u w:val="single"/>
        </w:rPr>
      </w:pPr>
      <w:r>
        <w:rPr>
          <w:kern w:val="0"/>
          <w:szCs w:val="21"/>
        </w:rPr>
        <w:t>_________________________________________________________________________</w:t>
      </w:r>
    </w:p>
    <w:p w14:paraId="482BD846">
      <w:pPr>
        <w:spacing w:line="360" w:lineRule="exact"/>
        <w:ind w:left="991" w:leftChars="270" w:hanging="424" w:hangingChars="202"/>
        <w:rPr>
          <w:kern w:val="0"/>
          <w:szCs w:val="21"/>
          <w:u w:val="single"/>
        </w:rPr>
      </w:pPr>
      <w:r>
        <w:rPr>
          <w:kern w:val="0"/>
          <w:szCs w:val="21"/>
        </w:rPr>
        <w:t>_________________________________________________________________________</w:t>
      </w:r>
    </w:p>
    <w:p w14:paraId="3B2662B6">
      <w:pPr>
        <w:spacing w:line="360" w:lineRule="exact"/>
        <w:ind w:left="5750" w:leftChars="1938" w:hanging="1680" w:hangingChars="800"/>
        <w:rPr>
          <w:kern w:val="0"/>
          <w:szCs w:val="21"/>
        </w:rPr>
      </w:pPr>
    </w:p>
    <w:p w14:paraId="5E76E80A">
      <w:pPr>
        <w:pStyle w:val="16"/>
        <w:numPr>
          <w:ilvl w:val="0"/>
          <w:numId w:val="1"/>
        </w:numPr>
        <w:spacing w:line="360" w:lineRule="exact"/>
        <w:ind w:firstLineChars="0"/>
        <w:jc w:val="center"/>
        <w:outlineLvl w:val="0"/>
        <w:rPr>
          <w:b/>
          <w:bCs/>
          <w:kern w:val="0"/>
          <w:szCs w:val="21"/>
        </w:rPr>
      </w:pPr>
      <w:r>
        <w:rPr>
          <w:rFonts w:hint="eastAsia"/>
          <w:b/>
          <w:bCs/>
          <w:kern w:val="0"/>
          <w:szCs w:val="21"/>
        </w:rPr>
        <w:t>授信额度的使用</w:t>
      </w:r>
    </w:p>
    <w:p w14:paraId="4776E1AA">
      <w:pPr>
        <w:pStyle w:val="16"/>
        <w:numPr>
          <w:ilvl w:val="1"/>
          <w:numId w:val="4"/>
        </w:numPr>
        <w:spacing w:line="360" w:lineRule="exact"/>
        <w:ind w:firstLineChars="0"/>
        <w:rPr>
          <w:kern w:val="0"/>
          <w:szCs w:val="21"/>
        </w:rPr>
      </w:pPr>
      <w:r>
        <w:rPr>
          <w:rFonts w:hint="eastAsia"/>
          <w:b/>
          <w:kern w:val="0"/>
          <w:szCs w:val="21"/>
        </w:rPr>
        <w:t>甲乙双方签订本合同并不构成甲方对乙方的授信承诺。</w:t>
      </w:r>
      <w:r>
        <w:rPr>
          <w:rFonts w:hint="eastAsia"/>
          <w:kern w:val="0"/>
          <w:szCs w:val="21"/>
        </w:rPr>
        <w:t>额度项下具体授信业务，乙方应逐笔向甲方提出书面申请，甲方有权自主决定是否向乙方发放额度项下单笔授信，如经甲方审查后同意发放单笔授信，根据业务性质由甲乙双方另行签署相应的单笔授信合同。</w:t>
      </w:r>
    </w:p>
    <w:p w14:paraId="4A9B6DA9">
      <w:pPr>
        <w:pStyle w:val="16"/>
        <w:numPr>
          <w:ilvl w:val="1"/>
          <w:numId w:val="4"/>
        </w:numPr>
        <w:spacing w:line="360" w:lineRule="exact"/>
        <w:ind w:firstLineChars="0"/>
        <w:rPr>
          <w:b/>
          <w:kern w:val="0"/>
          <w:szCs w:val="21"/>
        </w:rPr>
      </w:pPr>
      <w:r>
        <w:rPr>
          <w:rFonts w:hint="eastAsia"/>
          <w:b/>
          <w:kern w:val="0"/>
          <w:szCs w:val="21"/>
        </w:rPr>
        <w:t>授信额度使用的先决条件</w:t>
      </w:r>
    </w:p>
    <w:p w14:paraId="757EAE1A">
      <w:pPr>
        <w:pStyle w:val="16"/>
        <w:spacing w:line="360" w:lineRule="exact"/>
        <w:ind w:left="531" w:firstLine="0" w:firstLineChars="0"/>
        <w:rPr>
          <w:b/>
          <w:kern w:val="0"/>
          <w:szCs w:val="21"/>
        </w:rPr>
      </w:pPr>
      <w:r>
        <w:rPr>
          <w:rFonts w:hint="eastAsia" w:ascii="宋体" w:hAnsi="宋体"/>
          <w:b/>
          <w:kern w:val="0"/>
          <w:szCs w:val="21"/>
        </w:rPr>
        <w:t>甲方在授信额度每次使用前均有权审查下列事项是否已满足，并根据审查情况自行决定是否允许乙方使用授信，但此类审查不构成甲方的义务：</w:t>
      </w:r>
    </w:p>
    <w:p w14:paraId="388BAF7E">
      <w:pPr>
        <w:pStyle w:val="16"/>
        <w:numPr>
          <w:ilvl w:val="0"/>
          <w:numId w:val="5"/>
        </w:numPr>
        <w:spacing w:line="360" w:lineRule="exact"/>
        <w:ind w:left="1134" w:hanging="644" w:firstLineChars="0"/>
        <w:rPr>
          <w:kern w:val="0"/>
          <w:szCs w:val="21"/>
        </w:rPr>
      </w:pPr>
      <w:r>
        <w:rPr>
          <w:rFonts w:hint="eastAsia"/>
          <w:kern w:val="0"/>
          <w:szCs w:val="21"/>
        </w:rPr>
        <w:t>乙方已按照有关法律法规的规定，办妥与本合同项下授信有关的政府许可、批准、登记、交付等法定手续（如有）；</w:t>
      </w:r>
    </w:p>
    <w:p w14:paraId="5112DFEF">
      <w:pPr>
        <w:pStyle w:val="16"/>
        <w:numPr>
          <w:ilvl w:val="0"/>
          <w:numId w:val="5"/>
        </w:numPr>
        <w:spacing w:line="360" w:lineRule="exact"/>
        <w:ind w:left="1134" w:hanging="644" w:firstLineChars="0"/>
        <w:rPr>
          <w:kern w:val="0"/>
          <w:szCs w:val="21"/>
        </w:rPr>
      </w:pPr>
      <w:r>
        <w:rPr>
          <w:rFonts w:hint="eastAsia"/>
          <w:kern w:val="0"/>
          <w:szCs w:val="21"/>
        </w:rPr>
        <w:t>有关的担保合同及担保权已生效（如有）；</w:t>
      </w:r>
    </w:p>
    <w:p w14:paraId="05ED65B2">
      <w:pPr>
        <w:pStyle w:val="16"/>
        <w:numPr>
          <w:ilvl w:val="0"/>
          <w:numId w:val="5"/>
        </w:numPr>
        <w:spacing w:line="360" w:lineRule="exact"/>
        <w:ind w:left="1134" w:hanging="644" w:firstLineChars="0"/>
        <w:rPr>
          <w:kern w:val="0"/>
          <w:szCs w:val="21"/>
        </w:rPr>
      </w:pPr>
      <w:r>
        <w:rPr>
          <w:rFonts w:hint="eastAsia"/>
          <w:kern w:val="0"/>
          <w:szCs w:val="21"/>
        </w:rPr>
        <w:t>乙方已付清与本合同有关的费用（如有）；</w:t>
      </w:r>
    </w:p>
    <w:p w14:paraId="41A0E79D">
      <w:pPr>
        <w:pStyle w:val="16"/>
        <w:numPr>
          <w:ilvl w:val="0"/>
          <w:numId w:val="5"/>
        </w:numPr>
        <w:spacing w:line="360" w:lineRule="exact"/>
        <w:ind w:left="1134" w:hanging="644" w:firstLineChars="0"/>
        <w:rPr>
          <w:kern w:val="0"/>
          <w:szCs w:val="21"/>
        </w:rPr>
      </w:pPr>
      <w:r>
        <w:rPr>
          <w:rFonts w:hint="eastAsia"/>
          <w:kern w:val="0"/>
          <w:szCs w:val="21"/>
        </w:rPr>
        <w:t>乙方已满足了本合同约定的授信条件；</w:t>
      </w:r>
    </w:p>
    <w:p w14:paraId="21CD2AB6">
      <w:pPr>
        <w:pStyle w:val="16"/>
        <w:numPr>
          <w:ilvl w:val="0"/>
          <w:numId w:val="5"/>
        </w:numPr>
        <w:spacing w:line="360" w:lineRule="exact"/>
        <w:ind w:left="1134" w:hanging="644" w:firstLineChars="0"/>
        <w:rPr>
          <w:kern w:val="0"/>
          <w:szCs w:val="21"/>
        </w:rPr>
      </w:pPr>
      <w:r>
        <w:rPr>
          <w:rFonts w:hint="eastAsia"/>
          <w:kern w:val="0"/>
          <w:szCs w:val="21"/>
        </w:rPr>
        <w:t>乙方及担保人（如有）经营和财务状况未发生不利变化；</w:t>
      </w:r>
    </w:p>
    <w:p w14:paraId="54B6EB8C">
      <w:pPr>
        <w:pStyle w:val="16"/>
        <w:numPr>
          <w:ilvl w:val="0"/>
          <w:numId w:val="5"/>
        </w:numPr>
        <w:spacing w:line="360" w:lineRule="exact"/>
        <w:ind w:left="1134" w:hanging="644" w:firstLineChars="0"/>
        <w:rPr>
          <w:kern w:val="0"/>
          <w:szCs w:val="21"/>
        </w:rPr>
      </w:pPr>
      <w:r>
        <w:rPr>
          <w:rFonts w:hint="eastAsia"/>
          <w:kern w:val="0"/>
          <w:szCs w:val="21"/>
        </w:rPr>
        <w:t>乙方还款意愿和担保人（如有）担保意愿未发生变化；</w:t>
      </w:r>
    </w:p>
    <w:p w14:paraId="1B4CDB02">
      <w:pPr>
        <w:pStyle w:val="16"/>
        <w:numPr>
          <w:ilvl w:val="0"/>
          <w:numId w:val="5"/>
        </w:numPr>
        <w:spacing w:line="360" w:lineRule="exact"/>
        <w:ind w:left="1134" w:hanging="644" w:firstLineChars="0"/>
        <w:rPr>
          <w:kern w:val="0"/>
          <w:szCs w:val="21"/>
        </w:rPr>
      </w:pPr>
      <w:r>
        <w:rPr>
          <w:rFonts w:hint="eastAsia"/>
          <w:kern w:val="0"/>
          <w:szCs w:val="21"/>
        </w:rPr>
        <w:t>乙方未发生违反本合同约定或违反乙方与甲方所签署任何其他合同文件约定之情形；</w:t>
      </w:r>
    </w:p>
    <w:p w14:paraId="60BB03EF">
      <w:pPr>
        <w:pStyle w:val="16"/>
        <w:numPr>
          <w:ilvl w:val="0"/>
          <w:numId w:val="5"/>
        </w:numPr>
        <w:spacing w:line="360" w:lineRule="exact"/>
        <w:ind w:left="1134" w:hanging="644" w:firstLineChars="0"/>
        <w:rPr>
          <w:kern w:val="0"/>
          <w:szCs w:val="21"/>
        </w:rPr>
      </w:pPr>
      <w:r>
        <w:rPr>
          <w:rFonts w:hint="eastAsia"/>
          <w:kern w:val="0"/>
          <w:szCs w:val="21"/>
        </w:rPr>
        <w:t>乙方未发生可能影响甲方或乙方继续履行本合同之重大不利事件。</w:t>
      </w:r>
    </w:p>
    <w:p w14:paraId="7E7E0C4D">
      <w:pPr>
        <w:pStyle w:val="16"/>
        <w:numPr>
          <w:ilvl w:val="1"/>
          <w:numId w:val="4"/>
        </w:numPr>
        <w:spacing w:line="360" w:lineRule="exact"/>
        <w:ind w:firstLineChars="0"/>
        <w:rPr>
          <w:kern w:val="0"/>
          <w:szCs w:val="21"/>
        </w:rPr>
      </w:pPr>
      <w:r>
        <w:rPr>
          <w:rFonts w:hint="eastAsia"/>
          <w:kern w:val="0"/>
          <w:szCs w:val="21"/>
        </w:rPr>
        <w:t>甲方有权根据汇率变化调整额度金额或要求乙方追加担保。</w:t>
      </w:r>
    </w:p>
    <w:p w14:paraId="4405BBAB">
      <w:pPr>
        <w:pStyle w:val="16"/>
        <w:numPr>
          <w:ilvl w:val="1"/>
          <w:numId w:val="4"/>
        </w:numPr>
        <w:spacing w:line="360" w:lineRule="exact"/>
        <w:ind w:firstLineChars="0"/>
        <w:rPr>
          <w:b/>
          <w:bCs/>
          <w:kern w:val="0"/>
          <w:szCs w:val="21"/>
        </w:rPr>
      </w:pPr>
      <w:r>
        <w:rPr>
          <w:rFonts w:hint="eastAsia"/>
          <w:b/>
          <w:bCs/>
          <w:kern w:val="0"/>
          <w:szCs w:val="21"/>
        </w:rPr>
        <w:t>甲方有权对授信额度的使用、授信资金的去向进行监管，乙方应予以配合。</w:t>
      </w:r>
    </w:p>
    <w:p w14:paraId="1F2160A7">
      <w:pPr>
        <w:pStyle w:val="16"/>
        <w:numPr>
          <w:ilvl w:val="1"/>
          <w:numId w:val="4"/>
        </w:numPr>
        <w:spacing w:line="360" w:lineRule="exact"/>
        <w:ind w:firstLineChars="0"/>
        <w:rPr>
          <w:b/>
          <w:kern w:val="0"/>
          <w:szCs w:val="21"/>
        </w:rPr>
      </w:pPr>
      <w:r>
        <w:rPr>
          <w:rFonts w:hint="eastAsia"/>
          <w:b/>
          <w:kern w:val="0"/>
          <w:szCs w:val="21"/>
        </w:rPr>
        <w:t>额度使用前或额度使用过程中，如因国家宏观调控政策变化、甲方监管部门对甲方提出控制信贷规模或信贷投向的要求及</w:t>
      </w:r>
      <w:r>
        <w:rPr>
          <w:b/>
          <w:kern w:val="0"/>
          <w:szCs w:val="21"/>
        </w:rPr>
        <w:t>/</w:t>
      </w:r>
      <w:r>
        <w:rPr>
          <w:rFonts w:hint="eastAsia"/>
          <w:b/>
          <w:kern w:val="0"/>
          <w:szCs w:val="21"/>
        </w:rPr>
        <w:t>或其他非因甲方原因致使甲方无法继续让乙方使用本额度，甲方有权暂停及</w:t>
      </w:r>
      <w:r>
        <w:rPr>
          <w:b/>
          <w:kern w:val="0"/>
          <w:szCs w:val="21"/>
        </w:rPr>
        <w:t>/</w:t>
      </w:r>
      <w:r>
        <w:rPr>
          <w:rFonts w:hint="eastAsia"/>
          <w:b/>
          <w:kern w:val="0"/>
          <w:szCs w:val="21"/>
        </w:rPr>
        <w:t>或终止本额度使用，并有权解除本合同及</w:t>
      </w:r>
      <w:r>
        <w:rPr>
          <w:b/>
          <w:kern w:val="0"/>
          <w:szCs w:val="21"/>
        </w:rPr>
        <w:t>/</w:t>
      </w:r>
      <w:r>
        <w:rPr>
          <w:rFonts w:hint="eastAsia"/>
          <w:b/>
          <w:kern w:val="0"/>
          <w:szCs w:val="21"/>
        </w:rPr>
        <w:t>或要求乙方提前归还全部或部分额度项下债务，乙方对此无任何异议。</w:t>
      </w:r>
    </w:p>
    <w:p w14:paraId="0FD64143">
      <w:pPr>
        <w:spacing w:line="360" w:lineRule="exact"/>
        <w:rPr>
          <w:kern w:val="0"/>
          <w:szCs w:val="21"/>
        </w:rPr>
      </w:pPr>
    </w:p>
    <w:p w14:paraId="1EB071C2">
      <w:pPr>
        <w:pStyle w:val="16"/>
        <w:numPr>
          <w:ilvl w:val="0"/>
          <w:numId w:val="1"/>
        </w:numPr>
        <w:spacing w:line="360" w:lineRule="exact"/>
        <w:ind w:firstLineChars="0"/>
        <w:jc w:val="center"/>
        <w:outlineLvl w:val="0"/>
        <w:rPr>
          <w:b/>
          <w:bCs/>
          <w:kern w:val="0"/>
          <w:szCs w:val="21"/>
        </w:rPr>
      </w:pPr>
      <w:r>
        <w:rPr>
          <w:rFonts w:hint="eastAsia"/>
          <w:b/>
          <w:bCs/>
          <w:kern w:val="0"/>
          <w:szCs w:val="21"/>
        </w:rPr>
        <w:t>还款</w:t>
      </w:r>
    </w:p>
    <w:p w14:paraId="47C2D2B2">
      <w:pPr>
        <w:pStyle w:val="16"/>
        <w:numPr>
          <w:ilvl w:val="1"/>
          <w:numId w:val="6"/>
        </w:numPr>
        <w:spacing w:line="360" w:lineRule="exact"/>
        <w:ind w:firstLineChars="0"/>
        <w:rPr>
          <w:kern w:val="0"/>
          <w:szCs w:val="21"/>
        </w:rPr>
      </w:pPr>
      <w:r>
        <w:rPr>
          <w:rFonts w:hint="eastAsia"/>
          <w:kern w:val="0"/>
          <w:szCs w:val="21"/>
        </w:rPr>
        <w:t>乙方在甲方处开立账户，在约定的还款日之前，将应还款项全额存入该账户内。</w:t>
      </w:r>
    </w:p>
    <w:p w14:paraId="4C826E75">
      <w:pPr>
        <w:pStyle w:val="16"/>
        <w:numPr>
          <w:ilvl w:val="1"/>
          <w:numId w:val="6"/>
        </w:numPr>
        <w:spacing w:line="360" w:lineRule="exact"/>
        <w:ind w:firstLineChars="0"/>
        <w:rPr>
          <w:kern w:val="0"/>
          <w:szCs w:val="21"/>
        </w:rPr>
      </w:pPr>
      <w:r>
        <w:rPr>
          <w:rFonts w:hint="eastAsia"/>
          <w:kern w:val="0"/>
          <w:szCs w:val="21"/>
        </w:rPr>
        <w:t>额度内每笔授信到期时，乙方须按期足额履行债务清偿义务。否则，将作为授信逾期或垫款处理。</w:t>
      </w:r>
    </w:p>
    <w:p w14:paraId="29FE6773">
      <w:pPr>
        <w:pStyle w:val="16"/>
        <w:numPr>
          <w:ilvl w:val="1"/>
          <w:numId w:val="6"/>
        </w:numPr>
        <w:spacing w:line="360" w:lineRule="exact"/>
        <w:ind w:firstLineChars="0"/>
        <w:rPr>
          <w:kern w:val="0"/>
          <w:szCs w:val="21"/>
        </w:rPr>
      </w:pPr>
      <w:r>
        <w:rPr>
          <w:rFonts w:hint="eastAsia"/>
          <w:kern w:val="0"/>
          <w:szCs w:val="21"/>
        </w:rPr>
        <w:t>乙方未能足额履行按时还款义务或发生银行被动垫款的，应根据具体业务授信合同及</w:t>
      </w:r>
      <w:r>
        <w:rPr>
          <w:kern w:val="0"/>
          <w:szCs w:val="21"/>
        </w:rPr>
        <w:t>/</w:t>
      </w:r>
      <w:r>
        <w:rPr>
          <w:rFonts w:hint="eastAsia"/>
          <w:kern w:val="0"/>
          <w:szCs w:val="21"/>
        </w:rPr>
        <w:t>或其他相关文件约定承担违约责任，包括但不限于计收罚息、违约金等；就承兑、保函、备用证、信用证等表外授信业务，乙方应当根据甲方不时通知或要求及时履行该等业务项下付款义务，或根据甲方要求向甲方补足保证金至授信金额的</w:t>
      </w:r>
      <w:r>
        <w:rPr>
          <w:kern w:val="0"/>
          <w:szCs w:val="21"/>
        </w:rPr>
        <w:t>100%</w:t>
      </w:r>
      <w:r>
        <w:rPr>
          <w:rFonts w:hint="eastAsia"/>
          <w:kern w:val="0"/>
          <w:szCs w:val="21"/>
        </w:rPr>
        <w:t>以备对外支付。</w:t>
      </w:r>
    </w:p>
    <w:p w14:paraId="2DA4C1A5">
      <w:pPr>
        <w:pStyle w:val="16"/>
        <w:spacing w:line="360" w:lineRule="exact"/>
        <w:ind w:left="531" w:firstLine="0" w:firstLineChars="0"/>
        <w:rPr>
          <w:kern w:val="0"/>
          <w:szCs w:val="21"/>
        </w:rPr>
      </w:pPr>
    </w:p>
    <w:p w14:paraId="395FB391">
      <w:pPr>
        <w:pStyle w:val="16"/>
        <w:numPr>
          <w:ilvl w:val="0"/>
          <w:numId w:val="1"/>
        </w:numPr>
        <w:spacing w:line="360" w:lineRule="exact"/>
        <w:ind w:firstLineChars="0"/>
        <w:jc w:val="center"/>
        <w:outlineLvl w:val="0"/>
        <w:rPr>
          <w:b/>
          <w:bCs/>
          <w:kern w:val="0"/>
          <w:szCs w:val="21"/>
        </w:rPr>
      </w:pPr>
      <w:r>
        <w:rPr>
          <w:rFonts w:hint="eastAsia"/>
          <w:b/>
          <w:bCs/>
          <w:kern w:val="0"/>
          <w:szCs w:val="21"/>
        </w:rPr>
        <w:t>乙方声明与保证</w:t>
      </w:r>
    </w:p>
    <w:p w14:paraId="1EF4317A">
      <w:pPr>
        <w:pStyle w:val="16"/>
        <w:numPr>
          <w:ilvl w:val="1"/>
          <w:numId w:val="7"/>
        </w:numPr>
        <w:spacing w:line="360" w:lineRule="exact"/>
        <w:ind w:firstLineChars="0"/>
        <w:rPr>
          <w:kern w:val="0"/>
          <w:szCs w:val="21"/>
        </w:rPr>
      </w:pPr>
      <w:r>
        <w:rPr>
          <w:rFonts w:hint="eastAsia"/>
          <w:kern w:val="0"/>
          <w:szCs w:val="21"/>
        </w:rPr>
        <w:t>乙方是其所在地的司法辖区内合法设立、有效存续及拥有良好声誉的公司，拥有从事目前业务所需要的全部公司权利及政府许可和批准</w:t>
      </w:r>
      <w:r>
        <w:rPr>
          <w:rFonts w:hint="eastAsia" w:ascii="宋体" w:hAnsi="宋体"/>
          <w:kern w:val="0"/>
          <w:szCs w:val="21"/>
        </w:rPr>
        <w:t>，自身及控股股东信用状况良好</w:t>
      </w:r>
      <w:r>
        <w:rPr>
          <w:rFonts w:hint="eastAsia"/>
          <w:kern w:val="0"/>
          <w:szCs w:val="21"/>
        </w:rPr>
        <w:t>。</w:t>
      </w:r>
    </w:p>
    <w:p w14:paraId="4D9CBDE6">
      <w:pPr>
        <w:pStyle w:val="16"/>
        <w:numPr>
          <w:ilvl w:val="1"/>
          <w:numId w:val="7"/>
        </w:numPr>
        <w:spacing w:line="360" w:lineRule="exact"/>
        <w:ind w:firstLineChars="0"/>
        <w:rPr>
          <w:kern w:val="0"/>
          <w:szCs w:val="21"/>
        </w:rPr>
      </w:pPr>
      <w:r>
        <w:rPr>
          <w:rFonts w:hint="eastAsia"/>
          <w:kern w:val="0"/>
          <w:szCs w:val="21"/>
        </w:rPr>
        <w:t>乙方已完成签署本合同所需的所有授权和审批，签署本合同是乙方真实意思表示，不会导致违反其公司章程、相关法律法规规定及</w:t>
      </w:r>
      <w:r>
        <w:rPr>
          <w:kern w:val="0"/>
          <w:szCs w:val="21"/>
        </w:rPr>
        <w:t>/</w:t>
      </w:r>
      <w:r>
        <w:rPr>
          <w:rFonts w:hint="eastAsia"/>
          <w:kern w:val="0"/>
          <w:szCs w:val="21"/>
        </w:rPr>
        <w:t>或其与任何第三方签订的协议或承诺。乙方签署本合同时未违反任何有关环境保护、节能减排、降低污染的法律、法规与规章，并承诺签署本合同后严格遵守该类法律、法规与规章。</w:t>
      </w:r>
    </w:p>
    <w:p w14:paraId="71CFC090">
      <w:pPr>
        <w:pStyle w:val="16"/>
        <w:numPr>
          <w:ilvl w:val="1"/>
          <w:numId w:val="7"/>
        </w:numPr>
        <w:spacing w:line="360" w:lineRule="exact"/>
        <w:ind w:firstLineChars="0"/>
        <w:rPr>
          <w:kern w:val="0"/>
          <w:szCs w:val="21"/>
        </w:rPr>
      </w:pPr>
      <w:r>
        <w:rPr>
          <w:rFonts w:hint="eastAsia"/>
          <w:kern w:val="0"/>
          <w:szCs w:val="21"/>
        </w:rPr>
        <w:t>除本合同签署前已书面通知甲方以外，乙方不存在任何可能对本合同履行产生重大不利影响的诉讼、仲裁、执行、申诉、复议等程序及其他事件或情况。</w:t>
      </w:r>
    </w:p>
    <w:p w14:paraId="29053D98">
      <w:pPr>
        <w:pStyle w:val="16"/>
        <w:numPr>
          <w:ilvl w:val="1"/>
          <w:numId w:val="7"/>
        </w:numPr>
        <w:spacing w:line="360" w:lineRule="exact"/>
        <w:ind w:firstLineChars="0"/>
        <w:rPr>
          <w:kern w:val="0"/>
          <w:szCs w:val="21"/>
        </w:rPr>
      </w:pPr>
      <w:r>
        <w:rPr>
          <w:rFonts w:hint="eastAsia"/>
          <w:kern w:val="0"/>
          <w:szCs w:val="21"/>
        </w:rPr>
        <w:t>乙方应根据甲方要求及时提供财务报表、所有开户行账号及存贷款余额情况及甲方要求的其他相关资料，保证所提供文件和资料的真实、完整、客观，不含有任何虚假记载、误导性陈述或重大遗漏，财务报表为严格依据中国会计准则编制。</w:t>
      </w:r>
    </w:p>
    <w:p w14:paraId="44F6E183">
      <w:pPr>
        <w:pStyle w:val="16"/>
        <w:numPr>
          <w:ilvl w:val="1"/>
          <w:numId w:val="7"/>
        </w:numPr>
        <w:spacing w:line="360" w:lineRule="exact"/>
        <w:ind w:firstLineChars="0"/>
        <w:rPr>
          <w:kern w:val="0"/>
          <w:szCs w:val="21"/>
        </w:rPr>
      </w:pPr>
      <w:r>
        <w:rPr>
          <w:rFonts w:hint="eastAsia"/>
          <w:kern w:val="0"/>
          <w:szCs w:val="21"/>
        </w:rPr>
        <w:t>乙方向甲方提供资产信息时，应如实陈述有关不动产是否设置有居住权，如已设置有居住权的，乙方应书面通知甲方并提供居住权合同、乙方与居住权利人关系及有权登记机关相关居住权登记信息等材料</w:t>
      </w:r>
      <w:r>
        <w:rPr>
          <w:kern w:val="0"/>
          <w:szCs w:val="21"/>
        </w:rPr>
        <w:t>。</w:t>
      </w:r>
      <w:r>
        <w:rPr>
          <w:rFonts w:hint="eastAsia"/>
          <w:kern w:val="0"/>
          <w:szCs w:val="21"/>
        </w:rPr>
        <w:t>本合同履行过程中，若涉及对乙方名下任何不动产设置居住权的，乙方应取得甲方事先书面同意。乙方进一步承诺将确保乙方或第三方提供的用于为本合同项下债务提供担保的抵押物不得设置居住权。</w:t>
      </w:r>
    </w:p>
    <w:p w14:paraId="06DE5C5E">
      <w:pPr>
        <w:pStyle w:val="16"/>
        <w:numPr>
          <w:ilvl w:val="1"/>
          <w:numId w:val="7"/>
        </w:numPr>
        <w:spacing w:line="360" w:lineRule="exact"/>
        <w:ind w:firstLineChars="0"/>
        <w:rPr>
          <w:kern w:val="0"/>
          <w:szCs w:val="21"/>
        </w:rPr>
      </w:pPr>
      <w:r>
        <w:rPr>
          <w:rFonts w:hint="eastAsia"/>
          <w:b/>
          <w:bCs/>
          <w:kern w:val="0"/>
          <w:szCs w:val="21"/>
        </w:rPr>
        <w:t>乙方已经明确知悉需要严格按照本合同及额度项下单笔授信中关于贷款资金用途的约定用款。乙方已经明确知悉违规将贷款资金挪用于股东分红、金融资产、房地产、股权、股票等投资不仅违反本合同及额度项下单笔授信的约定，同时也违反了国家金融监管部门的相关监管政策。乙方承诺将严格按照本合同及额度项下单笔授信约定的贷款资金用途用款，不违规将贷款资金挪用于股东分红、金融资产、房地产、股权、股票等投资以及国家禁止生产、经营的领域和用途。</w:t>
      </w:r>
    </w:p>
    <w:p w14:paraId="718C086E">
      <w:pPr>
        <w:pStyle w:val="16"/>
        <w:numPr>
          <w:ilvl w:val="1"/>
          <w:numId w:val="7"/>
        </w:numPr>
        <w:spacing w:line="360" w:lineRule="exact"/>
        <w:ind w:firstLineChars="0"/>
        <w:rPr>
          <w:kern w:val="0"/>
          <w:szCs w:val="21"/>
        </w:rPr>
      </w:pPr>
      <w:r>
        <w:rPr>
          <w:rFonts w:hint="eastAsia"/>
          <w:b/>
          <w:kern w:val="0"/>
          <w:szCs w:val="21"/>
        </w:rPr>
        <w:t>乙方承诺本合同及额度项下单笔授信的资金用途不涉及新增地方政府隐性债务，如发现乙方存在违规新增地方政府隐性债务的情形，甲方将中止提供融资，已签订融资合同的中止放款，并将有关情况报告相关监管机构。</w:t>
      </w:r>
    </w:p>
    <w:p w14:paraId="7601E8E7">
      <w:pPr>
        <w:spacing w:line="360" w:lineRule="exact"/>
        <w:jc w:val="center"/>
        <w:rPr>
          <w:bCs/>
          <w:kern w:val="0"/>
          <w:szCs w:val="21"/>
        </w:rPr>
      </w:pPr>
    </w:p>
    <w:p w14:paraId="3955E7B9">
      <w:pPr>
        <w:pStyle w:val="16"/>
        <w:numPr>
          <w:ilvl w:val="0"/>
          <w:numId w:val="1"/>
        </w:numPr>
        <w:spacing w:line="360" w:lineRule="exact"/>
        <w:ind w:firstLineChars="0"/>
        <w:jc w:val="center"/>
        <w:outlineLvl w:val="0"/>
        <w:rPr>
          <w:b/>
          <w:bCs/>
          <w:kern w:val="0"/>
          <w:szCs w:val="21"/>
        </w:rPr>
      </w:pPr>
      <w:r>
        <w:rPr>
          <w:rFonts w:hint="eastAsia"/>
          <w:b/>
          <w:bCs/>
          <w:kern w:val="0"/>
          <w:szCs w:val="21"/>
        </w:rPr>
        <w:t>乙方的权利与义务</w:t>
      </w:r>
    </w:p>
    <w:p w14:paraId="3982AAB1">
      <w:pPr>
        <w:pStyle w:val="16"/>
        <w:numPr>
          <w:ilvl w:val="1"/>
          <w:numId w:val="8"/>
        </w:numPr>
        <w:spacing w:line="360" w:lineRule="exact"/>
        <w:ind w:firstLineChars="0"/>
        <w:rPr>
          <w:kern w:val="0"/>
          <w:szCs w:val="21"/>
        </w:rPr>
      </w:pPr>
      <w:r>
        <w:rPr>
          <w:rFonts w:hint="eastAsia"/>
          <w:kern w:val="0"/>
          <w:szCs w:val="21"/>
        </w:rPr>
        <w:t>乙方有权依据本合同项下约定的条件和条款向甲方申请办理具体业务，并由甲方依据本合同约定行事。</w:t>
      </w:r>
    </w:p>
    <w:p w14:paraId="2676321C">
      <w:pPr>
        <w:pStyle w:val="16"/>
        <w:numPr>
          <w:ilvl w:val="1"/>
          <w:numId w:val="8"/>
        </w:numPr>
        <w:spacing w:line="360" w:lineRule="exact"/>
        <w:ind w:firstLineChars="0"/>
        <w:rPr>
          <w:kern w:val="0"/>
          <w:szCs w:val="21"/>
        </w:rPr>
      </w:pPr>
      <w:bookmarkStart w:id="0" w:name="_Hlk526791920"/>
      <w:r>
        <w:rPr>
          <w:rFonts w:hint="eastAsia"/>
          <w:kern w:val="0"/>
          <w:szCs w:val="21"/>
        </w:rPr>
        <w:t>作为甲方提供本合同项下授信的合作基础，乙方同意后续涉及银行业务时在同等条件下将优先在甲方办理存款、结算、账户及</w:t>
      </w:r>
      <w:r>
        <w:rPr>
          <w:kern w:val="0"/>
          <w:szCs w:val="21"/>
        </w:rPr>
        <w:t>/</w:t>
      </w:r>
      <w:r>
        <w:rPr>
          <w:rFonts w:hint="eastAsia"/>
          <w:kern w:val="0"/>
          <w:szCs w:val="21"/>
        </w:rPr>
        <w:t>或融资等业务。</w:t>
      </w:r>
      <w:bookmarkEnd w:id="0"/>
    </w:p>
    <w:p w14:paraId="6ECA99B9">
      <w:pPr>
        <w:pStyle w:val="16"/>
        <w:numPr>
          <w:ilvl w:val="1"/>
          <w:numId w:val="8"/>
        </w:numPr>
        <w:spacing w:line="360" w:lineRule="exact"/>
        <w:ind w:firstLineChars="0"/>
        <w:rPr>
          <w:kern w:val="0"/>
          <w:szCs w:val="21"/>
        </w:rPr>
      </w:pPr>
      <w:r>
        <w:rPr>
          <w:rFonts w:hint="eastAsia"/>
          <w:kern w:val="0"/>
          <w:szCs w:val="21"/>
        </w:rPr>
        <w:t>乙方为集团客户时，应在发生净资产</w:t>
      </w:r>
      <w:r>
        <w:rPr>
          <w:kern w:val="0"/>
          <w:szCs w:val="21"/>
        </w:rPr>
        <w:t>10</w:t>
      </w:r>
      <w:r>
        <w:rPr>
          <w:rFonts w:hint="eastAsia"/>
          <w:kern w:val="0"/>
          <w:szCs w:val="21"/>
        </w:rPr>
        <w:t>％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w:t>
      </w:r>
      <w:r>
        <w:rPr>
          <w:kern w:val="0"/>
          <w:szCs w:val="21"/>
        </w:rPr>
        <w:t>a</w:t>
      </w:r>
      <w:r>
        <w:rPr>
          <w:rFonts w:hint="eastAsia"/>
          <w:kern w:val="0"/>
          <w:szCs w:val="21"/>
        </w:rPr>
        <w:t>）在股权上或者经营上直接或间接控制其他企事业法人或被其他企事业法人控制的；（</w:t>
      </w:r>
      <w:r>
        <w:rPr>
          <w:kern w:val="0"/>
          <w:szCs w:val="21"/>
        </w:rPr>
        <w:t>b</w:t>
      </w:r>
      <w:r>
        <w:rPr>
          <w:rFonts w:hint="eastAsia"/>
          <w:kern w:val="0"/>
          <w:szCs w:val="21"/>
        </w:rPr>
        <w:t>）共同被第三方企事业法人所控制的；（</w:t>
      </w:r>
      <w:r>
        <w:rPr>
          <w:kern w:val="0"/>
          <w:szCs w:val="21"/>
        </w:rPr>
        <w:t>c</w:t>
      </w:r>
      <w:r>
        <w:rPr>
          <w:rFonts w:hint="eastAsia"/>
          <w:kern w:val="0"/>
          <w:szCs w:val="21"/>
        </w:rPr>
        <w:t>）主要投资者个人、关键管理人员或与其关系密切的家庭成员（包括三代以内直系亲属关系和二代以内旁系亲属关系）共同直接控制或间接控制的；或（</w:t>
      </w:r>
      <w:r>
        <w:rPr>
          <w:kern w:val="0"/>
          <w:szCs w:val="21"/>
        </w:rPr>
        <w:t>d</w:t>
      </w:r>
      <w:r>
        <w:rPr>
          <w:rFonts w:hint="eastAsia"/>
          <w:kern w:val="0"/>
          <w:szCs w:val="21"/>
        </w:rPr>
        <w:t>）存在其他关联关系，可能不按公允价格原则转移资产和利润，应视同集团客户进行授信管理的。</w:t>
      </w:r>
    </w:p>
    <w:p w14:paraId="713F169F">
      <w:pPr>
        <w:pStyle w:val="16"/>
        <w:numPr>
          <w:ilvl w:val="1"/>
          <w:numId w:val="8"/>
        </w:numPr>
        <w:spacing w:line="360" w:lineRule="exact"/>
        <w:ind w:firstLineChars="0"/>
        <w:rPr>
          <w:rFonts w:ascii="宋体" w:hAnsi="宋体"/>
          <w:bCs/>
          <w:kern w:val="0"/>
          <w:szCs w:val="21"/>
        </w:rPr>
      </w:pPr>
      <w:r>
        <w:rPr>
          <w:rFonts w:hint="eastAsia" w:ascii="宋体" w:hAnsi="宋体"/>
          <w:bCs/>
          <w:kern w:val="0"/>
          <w:szCs w:val="21"/>
        </w:rPr>
        <w:t>乙方有下列情形之一时，应提前三十天书面通知甲方并取得甲方书面同意后方可进行（但依甲方合理判断未对本合同履行造成重大影响的情形除外）：</w:t>
      </w:r>
    </w:p>
    <w:p w14:paraId="716CA75F">
      <w:pPr>
        <w:pStyle w:val="16"/>
        <w:numPr>
          <w:ilvl w:val="0"/>
          <w:numId w:val="9"/>
        </w:numPr>
        <w:spacing w:line="360" w:lineRule="exact"/>
        <w:ind w:left="1134" w:hanging="644" w:firstLineChars="0"/>
        <w:rPr>
          <w:kern w:val="0"/>
          <w:szCs w:val="21"/>
        </w:rPr>
      </w:pPr>
      <w:r>
        <w:rPr>
          <w:rFonts w:hint="eastAsia"/>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23F32C2F">
      <w:pPr>
        <w:pStyle w:val="16"/>
        <w:numPr>
          <w:ilvl w:val="0"/>
          <w:numId w:val="9"/>
        </w:numPr>
        <w:spacing w:line="360" w:lineRule="exact"/>
        <w:ind w:left="1134" w:hanging="644" w:firstLineChars="0"/>
        <w:rPr>
          <w:kern w:val="0"/>
          <w:szCs w:val="21"/>
        </w:rPr>
      </w:pPr>
      <w:r>
        <w:rPr>
          <w:rFonts w:hint="eastAsia"/>
          <w:kern w:val="0"/>
          <w:szCs w:val="21"/>
        </w:rPr>
        <w:t>出售、赠与、出借、转移、抵（质）押或以任何其他方式处分价值超过其净资产</w:t>
      </w:r>
      <w:r>
        <w:rPr>
          <w:kern w:val="0"/>
          <w:szCs w:val="21"/>
        </w:rPr>
        <w:t>10%</w:t>
      </w:r>
      <w:r>
        <w:rPr>
          <w:rFonts w:hint="eastAsia"/>
          <w:kern w:val="0"/>
          <w:szCs w:val="21"/>
        </w:rPr>
        <w:t>的资产；</w:t>
      </w:r>
    </w:p>
    <w:p w14:paraId="289163AD">
      <w:pPr>
        <w:pStyle w:val="16"/>
        <w:numPr>
          <w:ilvl w:val="0"/>
          <w:numId w:val="9"/>
        </w:numPr>
        <w:spacing w:line="360" w:lineRule="exact"/>
        <w:ind w:left="1134" w:hanging="644" w:firstLineChars="0"/>
        <w:rPr>
          <w:kern w:val="0"/>
          <w:szCs w:val="21"/>
        </w:rPr>
      </w:pPr>
      <w:r>
        <w:rPr>
          <w:rFonts w:hint="eastAsia"/>
          <w:kern w:val="0"/>
          <w:szCs w:val="21"/>
        </w:rPr>
        <w:t>分红超过当年税后净利润的</w:t>
      </w:r>
      <w:r>
        <w:rPr>
          <w:kern w:val="0"/>
          <w:szCs w:val="21"/>
        </w:rPr>
        <w:t>30%</w:t>
      </w:r>
      <w:r>
        <w:rPr>
          <w:rFonts w:hint="eastAsia"/>
          <w:kern w:val="0"/>
          <w:szCs w:val="21"/>
        </w:rPr>
        <w:t>或者超过全部未分配利润的</w:t>
      </w:r>
      <w:r>
        <w:rPr>
          <w:kern w:val="0"/>
          <w:szCs w:val="21"/>
        </w:rPr>
        <w:t>20%</w:t>
      </w:r>
      <w:r>
        <w:rPr>
          <w:rFonts w:hint="eastAsia"/>
          <w:kern w:val="0"/>
          <w:szCs w:val="21"/>
        </w:rPr>
        <w:t>；</w:t>
      </w:r>
    </w:p>
    <w:p w14:paraId="5FC5598F">
      <w:pPr>
        <w:pStyle w:val="16"/>
        <w:numPr>
          <w:ilvl w:val="0"/>
          <w:numId w:val="9"/>
        </w:numPr>
        <w:spacing w:line="360" w:lineRule="exact"/>
        <w:ind w:left="1134" w:hanging="644" w:firstLineChars="0"/>
        <w:rPr>
          <w:kern w:val="0"/>
          <w:szCs w:val="21"/>
        </w:rPr>
      </w:pPr>
      <w:r>
        <w:rPr>
          <w:rFonts w:hint="eastAsia"/>
          <w:kern w:val="0"/>
          <w:szCs w:val="21"/>
        </w:rPr>
        <w:t>本合同额度生效后新增对外投资超过其净资产的</w:t>
      </w:r>
      <w:r>
        <w:rPr>
          <w:kern w:val="0"/>
          <w:szCs w:val="21"/>
        </w:rPr>
        <w:t>20%</w:t>
      </w:r>
      <w:r>
        <w:rPr>
          <w:rFonts w:hint="eastAsia"/>
          <w:kern w:val="0"/>
          <w:szCs w:val="21"/>
        </w:rPr>
        <w:t>；</w:t>
      </w:r>
    </w:p>
    <w:p w14:paraId="2C95B6C1">
      <w:pPr>
        <w:pStyle w:val="16"/>
        <w:numPr>
          <w:ilvl w:val="0"/>
          <w:numId w:val="9"/>
        </w:numPr>
        <w:spacing w:line="360" w:lineRule="exact"/>
        <w:ind w:left="1134" w:hanging="644" w:firstLineChars="0"/>
        <w:rPr>
          <w:kern w:val="0"/>
          <w:szCs w:val="21"/>
        </w:rPr>
      </w:pPr>
      <w:r>
        <w:rPr>
          <w:rFonts w:hint="eastAsia"/>
          <w:kern w:val="0"/>
          <w:szCs w:val="21"/>
        </w:rPr>
        <w:t>更改与其他银行的债务条款，或提前清偿其他长期债务；</w:t>
      </w:r>
    </w:p>
    <w:p w14:paraId="2EF3CCD6">
      <w:pPr>
        <w:pStyle w:val="16"/>
        <w:numPr>
          <w:ilvl w:val="0"/>
          <w:numId w:val="9"/>
        </w:numPr>
        <w:spacing w:line="360" w:lineRule="exact"/>
        <w:ind w:left="1134" w:hanging="644" w:firstLineChars="0"/>
        <w:rPr>
          <w:kern w:val="0"/>
          <w:szCs w:val="21"/>
        </w:rPr>
      </w:pPr>
      <w:r>
        <w:rPr>
          <w:rFonts w:hint="eastAsia"/>
          <w:kern w:val="0"/>
          <w:szCs w:val="21"/>
        </w:rPr>
        <w:t>偿还对乙方股东或实际控制人的债务；</w:t>
      </w:r>
    </w:p>
    <w:p w14:paraId="08CC229E">
      <w:pPr>
        <w:pStyle w:val="16"/>
        <w:numPr>
          <w:ilvl w:val="0"/>
          <w:numId w:val="9"/>
        </w:numPr>
        <w:spacing w:line="360" w:lineRule="exact"/>
        <w:ind w:left="1134" w:hanging="644" w:firstLineChars="0"/>
        <w:rPr>
          <w:kern w:val="0"/>
          <w:szCs w:val="21"/>
        </w:rPr>
      </w:pPr>
      <w:r>
        <w:rPr>
          <w:rFonts w:hint="eastAsia"/>
          <w:kern w:val="0"/>
          <w:szCs w:val="21"/>
        </w:rPr>
        <w:t>向其他银行申请授信，或向第三方提供担保，或减免第三方债务，涉及债务金额超过其净资产的</w:t>
      </w:r>
      <w:r>
        <w:rPr>
          <w:kern w:val="0"/>
          <w:szCs w:val="21"/>
        </w:rPr>
        <w:t>20%</w:t>
      </w:r>
      <w:r>
        <w:rPr>
          <w:rFonts w:hint="eastAsia"/>
          <w:kern w:val="0"/>
          <w:szCs w:val="21"/>
          <w:lang w:eastAsia="zh-CN"/>
        </w:rPr>
        <w:t>；</w:t>
      </w:r>
    </w:p>
    <w:p w14:paraId="681F63FE">
      <w:pPr>
        <w:pStyle w:val="16"/>
        <w:numPr>
          <w:ilvl w:val="0"/>
          <w:numId w:val="9"/>
        </w:numPr>
        <w:spacing w:line="360" w:lineRule="exact"/>
        <w:ind w:left="1134" w:hanging="644" w:firstLineChars="0"/>
        <w:rPr>
          <w:kern w:val="0"/>
          <w:szCs w:val="21"/>
        </w:rPr>
      </w:pPr>
      <w:r>
        <w:rPr>
          <w:rFonts w:hint="eastAsia"/>
          <w:kern w:val="0"/>
          <w:szCs w:val="21"/>
        </w:rPr>
        <w:t>进行其他可能影响其偿债能力的对外投资、对外提供担保、实质性增加债务融资等重大事项。</w:t>
      </w:r>
    </w:p>
    <w:p w14:paraId="0020DB2A">
      <w:pPr>
        <w:pStyle w:val="16"/>
        <w:numPr>
          <w:ilvl w:val="1"/>
          <w:numId w:val="8"/>
        </w:numPr>
        <w:spacing w:line="360" w:lineRule="exact"/>
        <w:ind w:firstLineChars="0"/>
        <w:rPr>
          <w:kern w:val="0"/>
          <w:szCs w:val="21"/>
        </w:rPr>
      </w:pPr>
      <w:r>
        <w:rPr>
          <w:rFonts w:hint="eastAsia"/>
          <w:kern w:val="0"/>
          <w:szCs w:val="21"/>
        </w:rPr>
        <w:t>乙方</w:t>
      </w:r>
      <w:r>
        <w:rPr>
          <w:rFonts w:hint="eastAsia" w:ascii="宋体" w:hAnsi="宋体"/>
          <w:bCs/>
          <w:kern w:val="0"/>
          <w:szCs w:val="21"/>
        </w:rPr>
        <w:t>保证在</w:t>
      </w:r>
      <w:r>
        <w:rPr>
          <w:rFonts w:hint="eastAsia"/>
          <w:kern w:val="0"/>
          <w:szCs w:val="21"/>
        </w:rPr>
        <w:t>额度使用期内保持合理的财务比率。</w:t>
      </w:r>
    </w:p>
    <w:p w14:paraId="2DF0D02D">
      <w:pPr>
        <w:pStyle w:val="16"/>
        <w:spacing w:line="360" w:lineRule="exact"/>
        <w:ind w:left="531" w:firstLine="0" w:firstLineChars="0"/>
        <w:rPr>
          <w:kern w:val="0"/>
          <w:szCs w:val="21"/>
          <w:u w:val="single"/>
        </w:rPr>
      </w:pPr>
      <w:r>
        <w:rPr>
          <w:rFonts w:hint="eastAsia"/>
          <w:kern w:val="0"/>
          <w:szCs w:val="21"/>
          <w:lang w:eastAsia="zh-CN"/>
        </w:rPr>
        <w:t>□</w:t>
      </w:r>
      <w:r>
        <w:rPr>
          <w:kern w:val="0"/>
          <w:szCs w:val="21"/>
        </w:rPr>
        <w:tab/>
      </w:r>
      <w:r>
        <w:rPr>
          <w:rFonts w:hint="eastAsia"/>
          <w:kern w:val="0"/>
          <w:szCs w:val="21"/>
        </w:rPr>
        <w:t>额度使用期内财务指标应保持始终满足以下标准：</w:t>
      </w:r>
      <w:r>
        <w:rPr>
          <w:kern w:val="0"/>
          <w:szCs w:val="21"/>
        </w:rPr>
        <w:t>___________________________</w:t>
      </w:r>
    </w:p>
    <w:p w14:paraId="0C525EBE">
      <w:pPr>
        <w:pStyle w:val="16"/>
        <w:spacing w:line="360" w:lineRule="exact"/>
        <w:ind w:left="531" w:firstLine="0" w:firstLineChars="0"/>
        <w:rPr>
          <w:kern w:val="0"/>
          <w:szCs w:val="21"/>
        </w:rPr>
      </w:pPr>
      <w:r>
        <w:rPr>
          <w:kern w:val="0"/>
          <w:szCs w:val="21"/>
        </w:rPr>
        <w:t>__________________________________________________________________________</w:t>
      </w:r>
    </w:p>
    <w:p w14:paraId="386630F2">
      <w:pPr>
        <w:pStyle w:val="16"/>
        <w:spacing w:line="360" w:lineRule="exact"/>
        <w:ind w:left="531" w:firstLine="0" w:firstLineChars="0"/>
        <w:rPr>
          <w:kern w:val="0"/>
          <w:szCs w:val="21"/>
        </w:rPr>
      </w:pPr>
      <w:r>
        <w:rPr>
          <w:kern w:val="0"/>
          <w:szCs w:val="21"/>
        </w:rPr>
        <w:t>__________________________________________________________________________</w:t>
      </w:r>
    </w:p>
    <w:p w14:paraId="41CB67B9">
      <w:pPr>
        <w:pStyle w:val="16"/>
        <w:numPr>
          <w:ilvl w:val="1"/>
          <w:numId w:val="8"/>
        </w:numPr>
        <w:spacing w:line="360" w:lineRule="exact"/>
        <w:ind w:firstLineChars="0"/>
        <w:rPr>
          <w:kern w:val="0"/>
          <w:szCs w:val="21"/>
        </w:rPr>
      </w:pPr>
      <w:r>
        <w:rPr>
          <w:rFonts w:hint="eastAsia"/>
          <w:kern w:val="0"/>
          <w:szCs w:val="21"/>
          <w:lang w:eastAsia="zh-CN"/>
        </w:rPr>
        <w:t>□</w:t>
      </w:r>
      <w:r>
        <w:rPr>
          <w:kern w:val="0"/>
          <w:szCs w:val="21"/>
        </w:rPr>
        <w:tab/>
      </w:r>
      <w:r>
        <w:rPr>
          <w:rFonts w:hint="eastAsia"/>
          <w:b/>
          <w:kern w:val="0"/>
          <w:szCs w:val="21"/>
        </w:rPr>
        <w:t>如果乙方申请办理一贷通业务的，乙方进一步承诺和同意遵守以下约定</w:t>
      </w:r>
      <w:r>
        <w:rPr>
          <w:rFonts w:hint="eastAsia"/>
          <w:kern w:val="0"/>
          <w:szCs w:val="21"/>
        </w:rPr>
        <w:t>：</w:t>
      </w:r>
    </w:p>
    <w:p w14:paraId="2DB788F4">
      <w:pPr>
        <w:pStyle w:val="16"/>
        <w:numPr>
          <w:ilvl w:val="0"/>
          <w:numId w:val="10"/>
        </w:numPr>
        <w:spacing w:line="360" w:lineRule="exact"/>
        <w:ind w:left="1134" w:hanging="644" w:firstLineChars="0"/>
        <w:rPr>
          <w:kern w:val="0"/>
          <w:szCs w:val="21"/>
        </w:rPr>
      </w:pPr>
      <w:r>
        <w:rPr>
          <w:rFonts w:hint="eastAsia"/>
          <w:kern w:val="0"/>
          <w:szCs w:val="21"/>
        </w:rPr>
        <w:t>乙方应在甲方开立结算账户。其中，对于出口退税账户、仓单、应收账款三类质押贷款，乙方须在甲方开立回款账户且甲方有权对现金流实施封闭监管，并同意甲方有权直接扣收乙方前述回款账户内的资金用于偿还本授信项下全部及</w:t>
      </w:r>
      <w:r>
        <w:rPr>
          <w:kern w:val="0"/>
          <w:szCs w:val="21"/>
        </w:rPr>
        <w:t>/</w:t>
      </w:r>
      <w:r>
        <w:rPr>
          <w:rFonts w:hint="eastAsia"/>
          <w:kern w:val="0"/>
          <w:szCs w:val="21"/>
        </w:rPr>
        <w:t>或任一债务。</w:t>
      </w:r>
    </w:p>
    <w:p w14:paraId="08818EBF">
      <w:pPr>
        <w:pStyle w:val="16"/>
        <w:numPr>
          <w:ilvl w:val="0"/>
          <w:numId w:val="10"/>
        </w:numPr>
        <w:spacing w:line="360" w:lineRule="exact"/>
        <w:ind w:left="1134" w:hanging="644" w:firstLineChars="0"/>
        <w:rPr>
          <w:kern w:val="0"/>
          <w:szCs w:val="21"/>
        </w:rPr>
      </w:pPr>
      <w:r>
        <w:rPr>
          <w:rFonts w:hint="eastAsia"/>
          <w:kern w:val="0"/>
          <w:szCs w:val="21"/>
        </w:rPr>
        <w:t>贷款发放后乙方需在甲方开通并使用企业网银产品。</w:t>
      </w:r>
    </w:p>
    <w:p w14:paraId="02573150">
      <w:pPr>
        <w:pStyle w:val="16"/>
        <w:numPr>
          <w:ilvl w:val="0"/>
          <w:numId w:val="10"/>
        </w:numPr>
        <w:spacing w:line="360" w:lineRule="exact"/>
        <w:ind w:left="1134" w:hanging="644" w:firstLineChars="0"/>
        <w:rPr>
          <w:kern w:val="0"/>
          <w:szCs w:val="21"/>
        </w:rPr>
      </w:pPr>
      <w:r>
        <w:rPr>
          <w:rFonts w:hint="eastAsia"/>
          <w:kern w:val="0"/>
          <w:szCs w:val="21"/>
        </w:rPr>
        <w:t>乙方承诺新增抵质押融资同等条件下应优先在甲方办理。</w:t>
      </w:r>
    </w:p>
    <w:p w14:paraId="6372F5F2">
      <w:pPr>
        <w:pStyle w:val="16"/>
        <w:numPr>
          <w:ilvl w:val="1"/>
          <w:numId w:val="8"/>
        </w:numPr>
        <w:spacing w:line="360" w:lineRule="exact"/>
        <w:ind w:firstLineChars="0"/>
        <w:rPr>
          <w:rFonts w:ascii="宋体" w:hAnsi="宋体"/>
          <w:b/>
          <w:kern w:val="0"/>
          <w:szCs w:val="21"/>
        </w:rPr>
      </w:pPr>
      <w:r>
        <w:rPr>
          <w:rFonts w:hint="eastAsia" w:ascii="宋体" w:hAnsi="宋体"/>
          <w:b/>
          <w:kern w:val="0"/>
          <w:szCs w:val="21"/>
        </w:rPr>
        <w:t>乙方明白将本合同项下抵押物（如有）转让予第三方可能影响抵押物最终可实现价值及/或增加担保增信的实现成本，乙方向甲方承诺并将确保本合同签署前不存在任何涉及抵押物的转让的安排或任何此类法律文件的签署，并且本合同履行期内，乙方承诺并将确保未经甲方书面同意，本合同项下抵押物不得向任何第三方转让，亦不得通过赠与、设定担保物权等任何其他方式对其进行任何形式的处分。乙方违反前述任何承诺的，构成对本合同的违反，甲方有权暂停任何授信/贷款的提用，及/或宣布本合同项下已发放授信/贷款债务提前到期，及/或采取法律规定或合同约定的其他违约救济措施。</w:t>
      </w:r>
    </w:p>
    <w:p w14:paraId="27F3C16D">
      <w:pPr>
        <w:pStyle w:val="16"/>
        <w:numPr>
          <w:ilvl w:val="1"/>
          <w:numId w:val="8"/>
        </w:numPr>
        <w:spacing w:line="360" w:lineRule="exact"/>
        <w:ind w:firstLineChars="0"/>
        <w:rPr>
          <w:rFonts w:ascii="宋体" w:hAnsi="宋体"/>
          <w:b/>
          <w:kern w:val="0"/>
          <w:szCs w:val="21"/>
        </w:rPr>
      </w:pPr>
      <w:r>
        <w:rPr>
          <w:rFonts w:hint="eastAsia" w:ascii="宋体" w:hAnsi="宋体"/>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22531A50">
      <w:pPr>
        <w:spacing w:line="360" w:lineRule="exact"/>
        <w:jc w:val="center"/>
        <w:rPr>
          <w:bCs/>
          <w:kern w:val="0"/>
          <w:szCs w:val="21"/>
        </w:rPr>
      </w:pPr>
    </w:p>
    <w:p w14:paraId="6C36988F">
      <w:pPr>
        <w:pStyle w:val="16"/>
        <w:numPr>
          <w:ilvl w:val="0"/>
          <w:numId w:val="1"/>
        </w:numPr>
        <w:spacing w:line="360" w:lineRule="exact"/>
        <w:ind w:firstLineChars="0"/>
        <w:jc w:val="center"/>
        <w:outlineLvl w:val="0"/>
        <w:rPr>
          <w:b/>
          <w:bCs/>
          <w:kern w:val="0"/>
          <w:szCs w:val="21"/>
        </w:rPr>
      </w:pPr>
      <w:r>
        <w:rPr>
          <w:rFonts w:hint="eastAsia"/>
          <w:b/>
          <w:bCs/>
          <w:kern w:val="0"/>
          <w:szCs w:val="21"/>
        </w:rPr>
        <w:t>甲方的权利与义务</w:t>
      </w:r>
    </w:p>
    <w:p w14:paraId="0F318777">
      <w:pPr>
        <w:pStyle w:val="16"/>
        <w:numPr>
          <w:ilvl w:val="1"/>
          <w:numId w:val="11"/>
        </w:numPr>
        <w:spacing w:line="360" w:lineRule="exact"/>
        <w:ind w:firstLineChars="0"/>
        <w:rPr>
          <w:kern w:val="0"/>
          <w:szCs w:val="21"/>
        </w:rPr>
      </w:pPr>
      <w:r>
        <w:rPr>
          <w:rFonts w:hint="eastAsia"/>
          <w:kern w:val="0"/>
          <w:szCs w:val="21"/>
        </w:rPr>
        <w:t>甲方有权要求乙方按期足额归还所有债务，并要求乙方根据本合同项下条件和条款申请和使用额度。</w:t>
      </w:r>
    </w:p>
    <w:p w14:paraId="5AC69BC9">
      <w:pPr>
        <w:pStyle w:val="16"/>
        <w:numPr>
          <w:ilvl w:val="1"/>
          <w:numId w:val="11"/>
        </w:numPr>
        <w:spacing w:line="360" w:lineRule="exact"/>
        <w:ind w:firstLineChars="0"/>
        <w:rPr>
          <w:kern w:val="0"/>
          <w:szCs w:val="21"/>
        </w:rPr>
      </w:pPr>
      <w:r>
        <w:rPr>
          <w:rFonts w:hint="eastAsia"/>
          <w:kern w:val="0"/>
          <w:szCs w:val="21"/>
        </w:rPr>
        <w:t>一年期（不含一年）以上额度，甲方有权自额度生效第二年起，依据额度生效时合同约定的授信条件对乙方和保证人（如有）经营财务状况和具体项目进展情况进行评估，并根据评估结果调整授信金额、期限和利率。</w:t>
      </w:r>
    </w:p>
    <w:p w14:paraId="416DC012">
      <w:pPr>
        <w:pStyle w:val="16"/>
        <w:spacing w:line="360" w:lineRule="exact"/>
        <w:ind w:left="531" w:firstLine="0" w:firstLineChars="0"/>
        <w:rPr>
          <w:kern w:val="0"/>
          <w:szCs w:val="21"/>
        </w:rPr>
      </w:pPr>
      <w:r>
        <w:rPr>
          <w:rFonts w:hint="eastAsia"/>
          <w:kern w:val="0"/>
          <w:szCs w:val="21"/>
        </w:rPr>
        <w:t>如有抵（质）押物的，甲方有权要求每年由甲方认可的评估机构对抵（质）押物进行价值评估。抵（质）押物价值明显下降的，已不足以作为主合同债务的担保，甲方有权要求乙方归还部分贷款或提供甲方认可的其他担保措施。</w:t>
      </w:r>
    </w:p>
    <w:p w14:paraId="43336D01">
      <w:pPr>
        <w:pStyle w:val="16"/>
        <w:numPr>
          <w:ilvl w:val="1"/>
          <w:numId w:val="11"/>
        </w:numPr>
        <w:spacing w:line="360" w:lineRule="exact"/>
        <w:ind w:firstLineChars="0"/>
        <w:rPr>
          <w:kern w:val="0"/>
          <w:szCs w:val="21"/>
        </w:rPr>
      </w:pPr>
      <w:r>
        <w:rPr>
          <w:rFonts w:hint="eastAsia"/>
          <w:kern w:val="0"/>
          <w:szCs w:val="21"/>
        </w:rPr>
        <w:t>甲方有权要求乙方提供与授信额度有关的资料，进入乙方经营场所，调查、审查、检查授信使用情况和乙方资产、财务状况及经营情况，乙方应给予配合；甲方有权监督乙方按本合同约定用途使用贷款。</w:t>
      </w:r>
    </w:p>
    <w:p w14:paraId="6448F8C3">
      <w:pPr>
        <w:pStyle w:val="16"/>
        <w:numPr>
          <w:ilvl w:val="1"/>
          <w:numId w:val="11"/>
        </w:numPr>
        <w:spacing w:line="360" w:lineRule="exact"/>
        <w:ind w:firstLineChars="0"/>
        <w:rPr>
          <w:kern w:val="0"/>
          <w:szCs w:val="21"/>
        </w:rPr>
      </w:pPr>
      <w:r>
        <w:rPr>
          <w:rFonts w:hint="eastAsia"/>
          <w:kern w:val="0"/>
          <w:szCs w:val="21"/>
        </w:rPr>
        <w:t>甲方应对乙方提供的资料承担保密义务，但以下情况除外：（</w:t>
      </w:r>
      <w:r>
        <w:rPr>
          <w:kern w:val="0"/>
          <w:szCs w:val="21"/>
        </w:rPr>
        <w:t>a</w:t>
      </w:r>
      <w:r>
        <w:rPr>
          <w:rFonts w:hint="eastAsia"/>
          <w:kern w:val="0"/>
          <w:szCs w:val="21"/>
        </w:rPr>
        <w:t>）法律法规另有规定或有权机构或监管部门另有要求的；（</w:t>
      </w:r>
      <w:r>
        <w:rPr>
          <w:kern w:val="0"/>
          <w:szCs w:val="21"/>
        </w:rPr>
        <w:t>b</w:t>
      </w:r>
      <w:r>
        <w:rPr>
          <w:rFonts w:hint="eastAsia"/>
          <w:kern w:val="0"/>
          <w:szCs w:val="21"/>
        </w:rPr>
        <w:t>）在任何法律或仲裁程序中</w:t>
      </w:r>
      <w:r>
        <w:rPr>
          <w:rFonts w:hint="eastAsia" w:ascii="宋体" w:hAnsi="宋体"/>
          <w:bCs/>
          <w:kern w:val="0"/>
          <w:szCs w:val="21"/>
        </w:rPr>
        <w:t>进行的</w:t>
      </w:r>
      <w:r>
        <w:rPr>
          <w:rFonts w:hint="eastAsia"/>
          <w:kern w:val="0"/>
          <w:szCs w:val="21"/>
        </w:rPr>
        <w:t>披露；（</w:t>
      </w:r>
      <w:r>
        <w:rPr>
          <w:kern w:val="0"/>
          <w:szCs w:val="21"/>
        </w:rPr>
        <w:t>c</w:t>
      </w:r>
      <w:r>
        <w:rPr>
          <w:rFonts w:hint="eastAsia"/>
          <w:kern w:val="0"/>
          <w:szCs w:val="21"/>
        </w:rPr>
        <w:t>）向甲方所在集团或</w:t>
      </w:r>
      <w:r>
        <w:rPr>
          <w:rFonts w:hint="eastAsia" w:asciiTheme="majorEastAsia" w:hAnsiTheme="majorEastAsia" w:eastAsiaTheme="majorEastAsia"/>
          <w:bCs/>
          <w:kern w:val="0"/>
          <w:szCs w:val="21"/>
        </w:rPr>
        <w:t>平安银行</w:t>
      </w:r>
      <w:r>
        <w:rPr>
          <w:rFonts w:hint="eastAsia"/>
          <w:kern w:val="0"/>
          <w:szCs w:val="21"/>
        </w:rPr>
        <w:t>分支机构</w:t>
      </w:r>
      <w:r>
        <w:rPr>
          <w:rFonts w:hint="eastAsia" w:ascii="宋体" w:hAnsi="宋体"/>
          <w:bCs/>
          <w:kern w:val="0"/>
          <w:szCs w:val="21"/>
        </w:rPr>
        <w:t>进行</w:t>
      </w:r>
      <w:r>
        <w:rPr>
          <w:rFonts w:hint="eastAsia"/>
          <w:kern w:val="0"/>
          <w:szCs w:val="21"/>
        </w:rPr>
        <w:t>披露；（</w:t>
      </w:r>
      <w:r>
        <w:rPr>
          <w:kern w:val="0"/>
          <w:szCs w:val="21"/>
        </w:rPr>
        <w:t>d</w:t>
      </w:r>
      <w:r>
        <w:rPr>
          <w:rFonts w:hint="eastAsia"/>
          <w:kern w:val="0"/>
          <w:szCs w:val="21"/>
        </w:rPr>
        <w:t>）向所雇佣的专业咨询机构（包括但不限于律师和</w:t>
      </w:r>
      <w:r>
        <w:rPr>
          <w:rFonts w:hint="eastAsia" w:ascii="宋体" w:hAnsi="宋体"/>
          <w:bCs/>
          <w:kern w:val="0"/>
          <w:szCs w:val="21"/>
        </w:rPr>
        <w:t>/或</w:t>
      </w:r>
      <w:r>
        <w:rPr>
          <w:rFonts w:hint="eastAsia"/>
          <w:kern w:val="0"/>
          <w:szCs w:val="21"/>
        </w:rPr>
        <w:t>财务顾问）披露；（</w:t>
      </w:r>
      <w:r>
        <w:rPr>
          <w:kern w:val="0"/>
          <w:szCs w:val="21"/>
        </w:rPr>
        <w:t>e</w:t>
      </w:r>
      <w:r>
        <w:rPr>
          <w:rFonts w:hint="eastAsia"/>
          <w:kern w:val="0"/>
          <w:szCs w:val="21"/>
        </w:rPr>
        <w:t>）甲乙双方另有约定的</w:t>
      </w:r>
      <w:r>
        <w:rPr>
          <w:rFonts w:hint="eastAsia" w:ascii="宋体" w:hAnsi="宋体"/>
          <w:bCs/>
          <w:kern w:val="0"/>
          <w:szCs w:val="21"/>
        </w:rPr>
        <w:t>可以披露的情形</w:t>
      </w:r>
      <w:r>
        <w:rPr>
          <w:rFonts w:hint="eastAsia"/>
          <w:kern w:val="0"/>
          <w:szCs w:val="21"/>
        </w:rPr>
        <w:t>；或（</w:t>
      </w:r>
      <w:r>
        <w:rPr>
          <w:kern w:val="0"/>
          <w:szCs w:val="21"/>
        </w:rPr>
        <w:t>f</w:t>
      </w:r>
      <w:r>
        <w:rPr>
          <w:rFonts w:hint="eastAsia"/>
          <w:kern w:val="0"/>
          <w:szCs w:val="21"/>
        </w:rPr>
        <w:t>）乙方提供的资料不构成秘密信息的。</w:t>
      </w:r>
    </w:p>
    <w:p w14:paraId="0F761FC7">
      <w:pPr>
        <w:spacing w:line="360" w:lineRule="exact"/>
        <w:jc w:val="center"/>
        <w:rPr>
          <w:b/>
          <w:bCs/>
          <w:kern w:val="0"/>
          <w:szCs w:val="21"/>
        </w:rPr>
      </w:pPr>
    </w:p>
    <w:p w14:paraId="55F6FC48">
      <w:pPr>
        <w:pStyle w:val="16"/>
        <w:numPr>
          <w:ilvl w:val="0"/>
          <w:numId w:val="1"/>
        </w:numPr>
        <w:spacing w:line="360" w:lineRule="exact"/>
        <w:ind w:firstLineChars="0"/>
        <w:jc w:val="center"/>
        <w:outlineLvl w:val="0"/>
        <w:rPr>
          <w:b/>
          <w:bCs/>
          <w:kern w:val="0"/>
          <w:szCs w:val="21"/>
        </w:rPr>
      </w:pPr>
      <w:r>
        <w:rPr>
          <w:rFonts w:hint="eastAsia"/>
          <w:b/>
          <w:bCs/>
          <w:kern w:val="0"/>
          <w:szCs w:val="21"/>
        </w:rPr>
        <w:t>违约条款</w:t>
      </w:r>
    </w:p>
    <w:p w14:paraId="14F54380">
      <w:pPr>
        <w:pStyle w:val="16"/>
        <w:numPr>
          <w:ilvl w:val="1"/>
          <w:numId w:val="12"/>
        </w:numPr>
        <w:spacing w:line="360" w:lineRule="exact"/>
        <w:ind w:firstLineChars="0"/>
        <w:rPr>
          <w:b/>
          <w:kern w:val="0"/>
          <w:szCs w:val="21"/>
        </w:rPr>
      </w:pPr>
      <w:r>
        <w:rPr>
          <w:rFonts w:hint="eastAsia"/>
          <w:b/>
          <w:kern w:val="0"/>
          <w:szCs w:val="21"/>
        </w:rPr>
        <w:t>发生以下任一事件均构成乙方在本合同项下之违约事件：</w:t>
      </w:r>
    </w:p>
    <w:p w14:paraId="4680FA18">
      <w:pPr>
        <w:pStyle w:val="16"/>
        <w:numPr>
          <w:ilvl w:val="0"/>
          <w:numId w:val="13"/>
        </w:numPr>
        <w:spacing w:line="360" w:lineRule="exact"/>
        <w:ind w:left="1218" w:hanging="748" w:firstLineChars="0"/>
        <w:rPr>
          <w:kern w:val="0"/>
          <w:szCs w:val="21"/>
        </w:rPr>
      </w:pPr>
      <w:r>
        <w:rPr>
          <w:rFonts w:hint="eastAsia"/>
          <w:kern w:val="0"/>
          <w:szCs w:val="21"/>
        </w:rPr>
        <w:t>本合同项下授信发生欠息、逾期、垫款或出现乙方的任何其他应付未付债务，或未按双方约定的用途使用授信资金；</w:t>
      </w:r>
    </w:p>
    <w:p w14:paraId="1D8A2EBE">
      <w:pPr>
        <w:pStyle w:val="16"/>
        <w:numPr>
          <w:ilvl w:val="0"/>
          <w:numId w:val="13"/>
        </w:numPr>
        <w:spacing w:line="360" w:lineRule="exact"/>
        <w:ind w:left="1218" w:hanging="748" w:firstLineChars="0"/>
        <w:rPr>
          <w:kern w:val="0"/>
          <w:szCs w:val="21"/>
        </w:rPr>
      </w:pPr>
      <w:r>
        <w:rPr>
          <w:rFonts w:hint="eastAsia"/>
          <w:kern w:val="0"/>
          <w:szCs w:val="21"/>
        </w:rPr>
        <w:t>乙方未按约定方式支用授信或贷款资金或以化整为零方式规避授信或贷款受托支付约定的；</w:t>
      </w:r>
    </w:p>
    <w:p w14:paraId="71BDD223">
      <w:pPr>
        <w:pStyle w:val="16"/>
        <w:numPr>
          <w:ilvl w:val="0"/>
          <w:numId w:val="13"/>
        </w:numPr>
        <w:spacing w:line="360" w:lineRule="exact"/>
        <w:ind w:left="1218" w:hanging="748" w:firstLineChars="0"/>
        <w:rPr>
          <w:kern w:val="0"/>
          <w:szCs w:val="21"/>
        </w:rPr>
      </w:pPr>
      <w:r>
        <w:rPr>
          <w:rFonts w:hint="eastAsia"/>
          <w:kern w:val="0"/>
          <w:szCs w:val="21"/>
        </w:rPr>
        <w:t>乙方违反其所作出的任何声明、保证或承诺；</w:t>
      </w:r>
    </w:p>
    <w:p w14:paraId="5B25ACB3">
      <w:pPr>
        <w:pStyle w:val="16"/>
        <w:numPr>
          <w:ilvl w:val="0"/>
          <w:numId w:val="13"/>
        </w:numPr>
        <w:spacing w:line="360" w:lineRule="exact"/>
        <w:ind w:left="1218" w:hanging="748" w:firstLineChars="0"/>
        <w:rPr>
          <w:kern w:val="0"/>
          <w:szCs w:val="21"/>
        </w:rPr>
      </w:pPr>
      <w:r>
        <w:rPr>
          <w:rFonts w:hint="eastAsia"/>
          <w:kern w:val="0"/>
          <w:szCs w:val="21"/>
        </w:rPr>
        <w:t>乙方违反本合同约定的其应履行的任何义务；</w:t>
      </w:r>
    </w:p>
    <w:p w14:paraId="652AF6AA">
      <w:pPr>
        <w:pStyle w:val="16"/>
        <w:numPr>
          <w:ilvl w:val="0"/>
          <w:numId w:val="13"/>
        </w:numPr>
        <w:spacing w:line="360" w:lineRule="exact"/>
        <w:ind w:left="1218" w:hanging="748" w:firstLineChars="0"/>
        <w:rPr>
          <w:kern w:val="0"/>
          <w:szCs w:val="21"/>
        </w:rPr>
      </w:pPr>
      <w:r>
        <w:rPr>
          <w:rFonts w:hint="eastAsia"/>
          <w:kern w:val="0"/>
          <w:szCs w:val="21"/>
        </w:rPr>
        <w:t>乙方就本合同签署或履行而向甲方所提供的信息或材料不准确、不完整、隐瞒真实的重要情况或有重大遗漏或具有误导性的；</w:t>
      </w:r>
    </w:p>
    <w:p w14:paraId="25457E65">
      <w:pPr>
        <w:pStyle w:val="16"/>
        <w:numPr>
          <w:ilvl w:val="0"/>
          <w:numId w:val="13"/>
        </w:numPr>
        <w:spacing w:line="360" w:lineRule="exact"/>
        <w:ind w:left="1218" w:hanging="748" w:firstLineChars="0"/>
        <w:rPr>
          <w:kern w:val="0"/>
          <w:szCs w:val="21"/>
        </w:rPr>
      </w:pPr>
      <w:r>
        <w:rPr>
          <w:rFonts w:hint="eastAsia"/>
          <w:kern w:val="0"/>
          <w:szCs w:val="21"/>
        </w:rPr>
        <w:t>乙方未按要求及时办妥与本合同有关的担保登记手续（如需）的；</w:t>
      </w:r>
    </w:p>
    <w:p w14:paraId="2EA048F7">
      <w:pPr>
        <w:pStyle w:val="16"/>
        <w:numPr>
          <w:ilvl w:val="0"/>
          <w:numId w:val="13"/>
        </w:numPr>
        <w:spacing w:line="360" w:lineRule="exact"/>
        <w:ind w:left="1218" w:hanging="748" w:firstLineChars="0"/>
        <w:rPr>
          <w:kern w:val="0"/>
          <w:szCs w:val="21"/>
        </w:rPr>
      </w:pPr>
      <w:r>
        <w:rPr>
          <w:rFonts w:hint="eastAsia"/>
          <w:kern w:val="0"/>
          <w:szCs w:val="21"/>
        </w:rPr>
        <w:t>乙方或担保人通过关联交易或其他方式，逃废银行债权；</w:t>
      </w:r>
    </w:p>
    <w:p w14:paraId="76837218">
      <w:pPr>
        <w:pStyle w:val="16"/>
        <w:numPr>
          <w:ilvl w:val="0"/>
          <w:numId w:val="13"/>
        </w:numPr>
        <w:spacing w:line="360" w:lineRule="exact"/>
        <w:ind w:left="1218" w:hanging="748" w:firstLineChars="0"/>
        <w:rPr>
          <w:kern w:val="0"/>
          <w:szCs w:val="21"/>
        </w:rPr>
      </w:pPr>
      <w:r>
        <w:rPr>
          <w:rFonts w:hint="eastAsia"/>
          <w:kern w:val="0"/>
          <w:szCs w:val="21"/>
        </w:rPr>
        <w:t>乙方或担保人存在怠于管理和追索到期债权，或以无偿、不合理的低价及其他不适当方式处分其主要财产等转移财产或抽逃资金或其他逃避债务的行为的；</w:t>
      </w:r>
    </w:p>
    <w:p w14:paraId="213B7F1D">
      <w:pPr>
        <w:pStyle w:val="16"/>
        <w:numPr>
          <w:ilvl w:val="0"/>
          <w:numId w:val="13"/>
        </w:numPr>
        <w:spacing w:line="360" w:lineRule="exact"/>
        <w:ind w:left="1218" w:hanging="748" w:firstLineChars="0"/>
        <w:rPr>
          <w:kern w:val="0"/>
          <w:szCs w:val="21"/>
        </w:rPr>
      </w:pPr>
      <w:r>
        <w:rPr>
          <w:rFonts w:hint="eastAsia"/>
          <w:kern w:val="0"/>
          <w:szCs w:val="21"/>
        </w:rPr>
        <w:t>乙方利用与任何第三人之间的虚假合同和安排，包括但不限于以无真实贸易背景的应收票据等债权贴现或质押，套取甲方或其他银行的资金或授信；</w:t>
      </w:r>
    </w:p>
    <w:p w14:paraId="42881B6A">
      <w:pPr>
        <w:pStyle w:val="16"/>
        <w:numPr>
          <w:ilvl w:val="0"/>
          <w:numId w:val="13"/>
        </w:numPr>
        <w:spacing w:line="360" w:lineRule="exact"/>
        <w:ind w:left="1218" w:hanging="748" w:firstLineChars="0"/>
        <w:rPr>
          <w:kern w:val="0"/>
          <w:szCs w:val="21"/>
        </w:rPr>
      </w:pPr>
      <w:r>
        <w:rPr>
          <w:rFonts w:hint="eastAsia"/>
          <w:kern w:val="0"/>
          <w:szCs w:val="21"/>
        </w:rPr>
        <w:t>乙方或担保人违反与</w:t>
      </w:r>
      <w:r>
        <w:rPr>
          <w:rFonts w:hint="eastAsia" w:asciiTheme="minorEastAsia" w:hAnsiTheme="minorEastAsia" w:eastAsiaTheme="minorEastAsia"/>
          <w:kern w:val="0"/>
          <w:szCs w:val="21"/>
        </w:rPr>
        <w:t>甲方（包括平安银行的任何分支机构）及</w:t>
      </w:r>
      <w:r>
        <w:rPr>
          <w:rFonts w:asciiTheme="minorEastAsia" w:hAnsiTheme="minorEastAsia" w:eastAsiaTheme="minorEastAsia"/>
          <w:kern w:val="0"/>
          <w:szCs w:val="21"/>
        </w:rPr>
        <w:t>/或其他金融机构</w:t>
      </w:r>
      <w:r>
        <w:rPr>
          <w:rFonts w:hint="eastAsia"/>
          <w:kern w:val="0"/>
          <w:szCs w:val="21"/>
        </w:rPr>
        <w:t>签订的任何其他合同（包括但不限于授信合同、贷款合同或担保合同等）或在其发行的任何债务性质的证券项下违约；</w:t>
      </w:r>
    </w:p>
    <w:p w14:paraId="7063F343">
      <w:pPr>
        <w:pStyle w:val="16"/>
        <w:numPr>
          <w:ilvl w:val="0"/>
          <w:numId w:val="13"/>
        </w:numPr>
        <w:spacing w:line="360" w:lineRule="exact"/>
        <w:ind w:left="1218" w:hanging="748" w:firstLineChars="0"/>
        <w:rPr>
          <w:kern w:val="0"/>
          <w:szCs w:val="21"/>
        </w:rPr>
      </w:pPr>
      <w:r>
        <w:rPr>
          <w:rFonts w:hint="eastAsia"/>
          <w:kern w:val="0"/>
          <w:szCs w:val="21"/>
        </w:rPr>
        <w:t>乙方的担保人违反担保合同（包括但不限于保证合同、抵押合同、质押合同）的约定或者发生担保合同项下的违约事项，或者担保合同未生效、无效或被撤销或担保登记手续未按要求完成；担保物价值明显减少、灭失或权属发生争议，或被查封、扣押、冻结、扣划、留置、拍卖等；</w:t>
      </w:r>
    </w:p>
    <w:p w14:paraId="740CB95E">
      <w:pPr>
        <w:pStyle w:val="16"/>
        <w:numPr>
          <w:ilvl w:val="0"/>
          <w:numId w:val="13"/>
        </w:numPr>
        <w:spacing w:line="360" w:lineRule="exact"/>
        <w:ind w:left="1218" w:hanging="748" w:firstLineChars="0"/>
        <w:rPr>
          <w:kern w:val="0"/>
          <w:szCs w:val="21"/>
        </w:rPr>
      </w:pPr>
      <w:r>
        <w:rPr>
          <w:rFonts w:hint="eastAsia"/>
          <w:kern w:val="0"/>
          <w:szCs w:val="21"/>
        </w:rPr>
        <w:t>乙方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或担保人（如有）向第三方提供担保，对其财务状况或履行本合同项下义务的能力产生重大不利影响；或乙方或担保人（如有）出现分立、合并、重大兼并、收购重组、重大资产处置、减资、歇业、停业、停产、停业整顿、清算、改组、被撤销、被解散、破产、或被吊销营业执照等任一情形；或乙方股东或实际控制人发生变动、或本合同第</w:t>
      </w:r>
      <w:r>
        <w:rPr>
          <w:kern w:val="0"/>
          <w:szCs w:val="21"/>
        </w:rPr>
        <w:t>5.4</w:t>
      </w:r>
      <w:r>
        <w:rPr>
          <w:rFonts w:hint="eastAsia"/>
          <w:kern w:val="0"/>
          <w:szCs w:val="21"/>
        </w:rPr>
        <w:t>条所列应通知的任一事项实际发生但未经甲方事先同意，甲方认为前述事项将影响其债权的安全的；</w:t>
      </w:r>
    </w:p>
    <w:p w14:paraId="01054F9E">
      <w:pPr>
        <w:pStyle w:val="16"/>
        <w:numPr>
          <w:ilvl w:val="0"/>
          <w:numId w:val="13"/>
        </w:numPr>
        <w:spacing w:line="360" w:lineRule="exact"/>
        <w:ind w:left="1218" w:hanging="748" w:firstLineChars="0"/>
        <w:rPr>
          <w:kern w:val="0"/>
          <w:szCs w:val="21"/>
        </w:rPr>
      </w:pPr>
      <w:r>
        <w:rPr>
          <w:rFonts w:hint="eastAsia"/>
          <w:kern w:val="0"/>
          <w:szCs w:val="21"/>
        </w:rPr>
        <w:t>乙方或本合同项下任何担保人（如有）违反向甲方所作有关居住权设置的承诺、未经甲方书面同意就其抵押物或资产设置居住权的；</w:t>
      </w:r>
    </w:p>
    <w:p w14:paraId="17E87BAE">
      <w:pPr>
        <w:pStyle w:val="16"/>
        <w:numPr>
          <w:ilvl w:val="0"/>
          <w:numId w:val="13"/>
        </w:numPr>
        <w:spacing w:line="360" w:lineRule="exact"/>
        <w:ind w:left="1218" w:hanging="748" w:firstLineChars="0"/>
        <w:rPr>
          <w:kern w:val="0"/>
          <w:szCs w:val="21"/>
        </w:rPr>
      </w:pPr>
      <w:r>
        <w:rPr>
          <w:rFonts w:hint="eastAsia"/>
          <w:kern w:val="0"/>
          <w:szCs w:val="21"/>
        </w:rPr>
        <w:t>未经甲方书面同意，发生本合同授信/贷款/融资项下已抵押财产转让第三方情形的；</w:t>
      </w:r>
    </w:p>
    <w:p w14:paraId="0D775A15">
      <w:pPr>
        <w:pStyle w:val="16"/>
        <w:numPr>
          <w:ilvl w:val="0"/>
          <w:numId w:val="13"/>
        </w:numPr>
        <w:spacing w:line="360" w:lineRule="exact"/>
        <w:ind w:left="1218" w:hanging="748" w:firstLineChars="0"/>
        <w:rPr>
          <w:kern w:val="0"/>
          <w:szCs w:val="21"/>
        </w:rPr>
      </w:pPr>
      <w:r>
        <w:rPr>
          <w:rFonts w:hint="eastAsia"/>
          <w:kern w:val="0"/>
          <w:szCs w:val="21"/>
        </w:rPr>
        <w:t>乙方或担保人的经营期限在本授信额度期限内到期，且未办理到期延续手续；</w:t>
      </w:r>
    </w:p>
    <w:p w14:paraId="098C0F1C">
      <w:pPr>
        <w:pStyle w:val="16"/>
        <w:numPr>
          <w:ilvl w:val="0"/>
          <w:numId w:val="13"/>
        </w:numPr>
        <w:spacing w:line="360" w:lineRule="exact"/>
        <w:ind w:left="1218" w:hanging="748" w:firstLineChars="0"/>
        <w:rPr>
          <w:kern w:val="0"/>
          <w:szCs w:val="21"/>
        </w:rPr>
      </w:pPr>
      <w:bookmarkStart w:id="1" w:name="_Hlk525065820"/>
      <w:r>
        <w:rPr>
          <w:rFonts w:hint="eastAsia"/>
          <w:kern w:val="0"/>
          <w:szCs w:val="21"/>
        </w:rPr>
        <w:t>发生其他可能严重影响乙方履行本合同项下义务能力之事件或情形的。</w:t>
      </w:r>
    </w:p>
    <w:bookmarkEnd w:id="1"/>
    <w:p w14:paraId="621251EB">
      <w:pPr>
        <w:pStyle w:val="16"/>
        <w:numPr>
          <w:ilvl w:val="1"/>
          <w:numId w:val="12"/>
        </w:numPr>
        <w:spacing w:line="360" w:lineRule="exact"/>
        <w:ind w:firstLineChars="0"/>
        <w:rPr>
          <w:b/>
          <w:bCs/>
          <w:kern w:val="0"/>
          <w:szCs w:val="21"/>
        </w:rPr>
      </w:pPr>
      <w:r>
        <w:rPr>
          <w:rFonts w:hint="eastAsia"/>
          <w:b/>
          <w:kern w:val="0"/>
          <w:szCs w:val="21"/>
        </w:rPr>
        <w:t>发生上述任一违约事件时，甲方有权采取下列</w:t>
      </w:r>
      <w:r>
        <w:rPr>
          <w:rFonts w:hint="eastAsia"/>
          <w:b/>
          <w:bCs/>
          <w:kern w:val="0"/>
          <w:szCs w:val="21"/>
        </w:rPr>
        <w:t>一项或多项</w:t>
      </w:r>
      <w:r>
        <w:rPr>
          <w:rFonts w:hint="eastAsia"/>
          <w:b/>
          <w:kern w:val="0"/>
          <w:szCs w:val="21"/>
        </w:rPr>
        <w:t>措施：</w:t>
      </w:r>
    </w:p>
    <w:p w14:paraId="34AA720B">
      <w:pPr>
        <w:pStyle w:val="16"/>
        <w:numPr>
          <w:ilvl w:val="0"/>
          <w:numId w:val="14"/>
        </w:numPr>
        <w:spacing w:line="360" w:lineRule="exact"/>
        <w:ind w:left="1218" w:hanging="748" w:firstLineChars="0"/>
        <w:rPr>
          <w:kern w:val="0"/>
          <w:szCs w:val="21"/>
        </w:rPr>
      </w:pPr>
      <w:r>
        <w:rPr>
          <w:rFonts w:hint="eastAsia"/>
          <w:kern w:val="0"/>
          <w:szCs w:val="21"/>
        </w:rPr>
        <w:t>调整、取消或终止本合同项下的综合授信额度，或调整额度期限、额度金额等授信条件；或暂停发放新的授信或批准新的提款申请；</w:t>
      </w:r>
    </w:p>
    <w:p w14:paraId="4983F297">
      <w:pPr>
        <w:pStyle w:val="16"/>
        <w:numPr>
          <w:ilvl w:val="0"/>
          <w:numId w:val="14"/>
        </w:numPr>
        <w:spacing w:line="360" w:lineRule="exact"/>
        <w:ind w:left="1218" w:hanging="748" w:firstLineChars="0"/>
        <w:rPr>
          <w:kern w:val="0"/>
          <w:szCs w:val="21"/>
        </w:rPr>
      </w:pPr>
      <w:r>
        <w:rPr>
          <w:rFonts w:hint="eastAsia"/>
          <w:kern w:val="0"/>
          <w:szCs w:val="21"/>
        </w:rPr>
        <w:t>宣布本额度项下的授信全部或部分立即提前到期，要求乙方立即偿还部分或全部授信本金、利息及费用，并自违约事件发生之日起，对已发放的授信项下债务按罚息利率计收罚息，直至乙方清偿全部授信项下所有债务（包括但不限于本金、利息及相关费用）；为免疑义，前述费用</w:t>
      </w:r>
      <w:r>
        <w:rPr>
          <w:rFonts w:hint="eastAsia"/>
          <w:kern w:val="0"/>
        </w:rPr>
        <w:t>包括但不限于甲方为实现债权产生的所有费用（具体参见本合同第</w:t>
      </w:r>
      <w:r>
        <w:rPr>
          <w:kern w:val="0"/>
        </w:rPr>
        <w:t>7.3</w:t>
      </w:r>
      <w:r>
        <w:rPr>
          <w:rFonts w:hint="eastAsia"/>
          <w:kern w:val="0"/>
        </w:rPr>
        <w:t>条）；</w:t>
      </w:r>
    </w:p>
    <w:p w14:paraId="6A580734">
      <w:pPr>
        <w:pStyle w:val="16"/>
        <w:numPr>
          <w:ilvl w:val="0"/>
          <w:numId w:val="14"/>
        </w:numPr>
        <w:spacing w:line="360" w:lineRule="exact"/>
        <w:ind w:left="1218" w:hanging="748" w:firstLineChars="0"/>
        <w:rPr>
          <w:b/>
          <w:kern w:val="0"/>
          <w:szCs w:val="21"/>
        </w:rPr>
      </w:pPr>
      <w:r>
        <w:rPr>
          <w:rFonts w:hint="eastAsia"/>
          <w:b/>
          <w:kern w:val="0"/>
          <w:szCs w:val="21"/>
        </w:rPr>
        <w:t>就尚未到期的承兑、保函、备用证、信用证等表外授信业务，甲方有权要求乙方立即向甲方足额交存保证金至授信金额的</w:t>
      </w:r>
      <w:r>
        <w:rPr>
          <w:b/>
          <w:kern w:val="0"/>
          <w:szCs w:val="21"/>
        </w:rPr>
        <w:t>100%</w:t>
      </w:r>
      <w:r>
        <w:rPr>
          <w:rFonts w:hint="eastAsia"/>
          <w:b/>
          <w:kern w:val="0"/>
          <w:szCs w:val="21"/>
        </w:rPr>
        <w:t>以备对外支付；</w:t>
      </w:r>
    </w:p>
    <w:p w14:paraId="36B36273">
      <w:pPr>
        <w:pStyle w:val="16"/>
        <w:numPr>
          <w:ilvl w:val="0"/>
          <w:numId w:val="14"/>
        </w:numPr>
        <w:spacing w:line="360" w:lineRule="exact"/>
        <w:ind w:left="1218" w:hanging="748" w:firstLineChars="0"/>
        <w:rPr>
          <w:kern w:val="0"/>
          <w:szCs w:val="21"/>
        </w:rPr>
      </w:pPr>
      <w:r>
        <w:rPr>
          <w:rFonts w:hint="eastAsia"/>
          <w:kern w:val="0"/>
          <w:szCs w:val="21"/>
        </w:rPr>
        <w:t>要求乙方提供甲方认可的新的担保措施；</w:t>
      </w:r>
    </w:p>
    <w:p w14:paraId="2EA8619F">
      <w:pPr>
        <w:pStyle w:val="16"/>
        <w:numPr>
          <w:ilvl w:val="0"/>
          <w:numId w:val="14"/>
        </w:numPr>
        <w:spacing w:line="360" w:lineRule="exact"/>
        <w:ind w:left="1218" w:hanging="748" w:firstLineChars="0"/>
        <w:rPr>
          <w:b/>
          <w:kern w:val="0"/>
          <w:szCs w:val="21"/>
        </w:rPr>
      </w:pPr>
      <w:r>
        <w:rPr>
          <w:rFonts w:hint="eastAsia"/>
          <w:b/>
          <w:kern w:val="0"/>
          <w:szCs w:val="21"/>
        </w:rPr>
        <w:t>有权直接从乙方或相关担保方账户上扣款，以清偿乙方在本合同及</w:t>
      </w:r>
      <w:r>
        <w:rPr>
          <w:b/>
          <w:kern w:val="0"/>
          <w:szCs w:val="21"/>
        </w:rPr>
        <w:t>/</w:t>
      </w:r>
      <w:r>
        <w:rPr>
          <w:rFonts w:hint="eastAsia"/>
          <w:b/>
          <w:kern w:val="0"/>
          <w:szCs w:val="21"/>
        </w:rPr>
        <w:t>或各具体业务合同项下的全部或部分债务（包括甲方要求提前清偿的债务），而无须事先征得乙方的同意；</w:t>
      </w:r>
    </w:p>
    <w:p w14:paraId="05AD14D2">
      <w:pPr>
        <w:pStyle w:val="16"/>
        <w:numPr>
          <w:ilvl w:val="0"/>
          <w:numId w:val="14"/>
        </w:numPr>
        <w:spacing w:line="360" w:lineRule="exact"/>
        <w:ind w:left="1218" w:hanging="748" w:firstLineChars="0"/>
        <w:rPr>
          <w:kern w:val="0"/>
          <w:szCs w:val="21"/>
        </w:rPr>
      </w:pPr>
      <w:r>
        <w:rPr>
          <w:rFonts w:hint="eastAsia"/>
          <w:kern w:val="0"/>
          <w:szCs w:val="21"/>
        </w:rPr>
        <w:t>有权行使相关担保权利，包括但不限于要求保证人立即履行保证责任，或通过依法处分抵押物及</w:t>
      </w:r>
      <w:r>
        <w:rPr>
          <w:kern w:val="0"/>
          <w:szCs w:val="21"/>
        </w:rPr>
        <w:t>/</w:t>
      </w:r>
      <w:r>
        <w:rPr>
          <w:rFonts w:hint="eastAsia"/>
          <w:kern w:val="0"/>
          <w:szCs w:val="21"/>
        </w:rPr>
        <w:t>或质物实现担保权利；</w:t>
      </w:r>
    </w:p>
    <w:p w14:paraId="3AADCD2F">
      <w:pPr>
        <w:pStyle w:val="16"/>
        <w:numPr>
          <w:ilvl w:val="0"/>
          <w:numId w:val="14"/>
        </w:numPr>
        <w:spacing w:line="360" w:lineRule="exact"/>
        <w:ind w:left="1218" w:hanging="748" w:firstLineChars="0"/>
        <w:rPr>
          <w:kern w:val="0"/>
          <w:szCs w:val="21"/>
        </w:rPr>
      </w:pPr>
      <w:r>
        <w:rPr>
          <w:rFonts w:hint="eastAsia"/>
          <w:kern w:val="0"/>
          <w:szCs w:val="21"/>
        </w:rPr>
        <w:t>甲方依法向乙方的债务人主张代位求偿权，或请求法院撤销乙方放弃其到期债权或者无偿转让财产、以明显不合理低价转让财产的行为，乙方需按照甲方的要求提供一切必要配合与协助，甲方由此产生的各项费用由乙方承担；</w:t>
      </w:r>
    </w:p>
    <w:p w14:paraId="12924C7A">
      <w:pPr>
        <w:pStyle w:val="16"/>
        <w:numPr>
          <w:ilvl w:val="0"/>
          <w:numId w:val="14"/>
        </w:numPr>
        <w:spacing w:line="360" w:lineRule="exact"/>
        <w:ind w:left="1218" w:hanging="748" w:firstLineChars="0"/>
        <w:rPr>
          <w:kern w:val="0"/>
          <w:szCs w:val="21"/>
        </w:rPr>
      </w:pPr>
      <w:r>
        <w:rPr>
          <w:rFonts w:hint="eastAsia"/>
          <w:kern w:val="0"/>
          <w:szCs w:val="21"/>
          <w:lang w:val="en-US" w:eastAsia="zh-CN"/>
        </w:rPr>
        <w:t>甲方发现乙方挪用贷款资金的，有权</w:t>
      </w:r>
      <w:r>
        <w:rPr>
          <w:rFonts w:hint="eastAsia"/>
          <w:kern w:val="0"/>
          <w:szCs w:val="21"/>
        </w:rPr>
        <w:t>要求乙方按照甲方认可的方式完成整改</w:t>
      </w:r>
      <w:r>
        <w:rPr>
          <w:rFonts w:hint="eastAsia"/>
          <w:kern w:val="0"/>
          <w:szCs w:val="21"/>
          <w:lang w:val="en-US" w:eastAsia="zh-CN"/>
        </w:rPr>
        <w:t>及/或</w:t>
      </w:r>
      <w:r>
        <w:rPr>
          <w:rFonts w:hint="eastAsia"/>
          <w:kern w:val="0"/>
          <w:szCs w:val="21"/>
        </w:rPr>
        <w:t>下调乙方贷款风险分类</w:t>
      </w:r>
      <w:r>
        <w:rPr>
          <w:rFonts w:hint="eastAsia"/>
          <w:kern w:val="0"/>
          <w:szCs w:val="21"/>
          <w:lang w:eastAsia="zh-CN"/>
        </w:rPr>
        <w:t>；</w:t>
      </w:r>
    </w:p>
    <w:p w14:paraId="689DB284">
      <w:pPr>
        <w:pStyle w:val="16"/>
        <w:numPr>
          <w:ilvl w:val="0"/>
          <w:numId w:val="14"/>
        </w:numPr>
        <w:spacing w:line="360" w:lineRule="exact"/>
        <w:ind w:left="1218" w:hanging="748" w:firstLineChars="0"/>
        <w:rPr>
          <w:kern w:val="0"/>
          <w:szCs w:val="21"/>
        </w:rPr>
      </w:pPr>
      <w:r>
        <w:rPr>
          <w:rFonts w:hint="eastAsia"/>
          <w:kern w:val="0"/>
          <w:szCs w:val="21"/>
        </w:rPr>
        <w:t>采取法律允许或合同约定的其他救济措施。</w:t>
      </w:r>
    </w:p>
    <w:p w14:paraId="4885502F">
      <w:pPr>
        <w:pStyle w:val="16"/>
        <w:numPr>
          <w:ilvl w:val="1"/>
          <w:numId w:val="12"/>
        </w:numPr>
        <w:spacing w:line="360" w:lineRule="exact"/>
        <w:ind w:firstLineChars="0"/>
        <w:rPr>
          <w:b/>
          <w:kern w:val="0"/>
          <w:szCs w:val="21"/>
        </w:rPr>
      </w:pPr>
      <w:r>
        <w:rPr>
          <w:rFonts w:hint="eastAsia"/>
          <w:b/>
          <w:kern w:val="0"/>
          <w:szCs w:val="21"/>
        </w:rPr>
        <w:t>本合同项下“实现债权的费用”是指，乙方未按期偿还甲方在本合同项下任何债务，导致甲方为催收等所产生或所需的合理费用，包括但不限于公告、公证、送达、鉴定费、律师费、诉讼费、仲裁费、差旅费、评估费、拍卖费、财产保全费、强制执行费、过户费等。本合同项下甲方“实现债权的费用”均由乙方负担。</w:t>
      </w:r>
    </w:p>
    <w:p w14:paraId="7A0C6A20">
      <w:pPr>
        <w:pStyle w:val="16"/>
        <w:spacing w:line="360" w:lineRule="exact"/>
        <w:ind w:left="531" w:firstLine="0" w:firstLineChars="0"/>
        <w:rPr>
          <w:kern w:val="0"/>
          <w:szCs w:val="21"/>
        </w:rPr>
      </w:pPr>
    </w:p>
    <w:p w14:paraId="622D9535">
      <w:pPr>
        <w:pStyle w:val="16"/>
        <w:numPr>
          <w:ilvl w:val="0"/>
          <w:numId w:val="1"/>
        </w:numPr>
        <w:spacing w:line="360" w:lineRule="exact"/>
        <w:ind w:firstLineChars="0"/>
        <w:jc w:val="center"/>
        <w:outlineLvl w:val="0"/>
        <w:rPr>
          <w:b/>
          <w:bCs/>
          <w:kern w:val="0"/>
          <w:szCs w:val="21"/>
        </w:rPr>
      </w:pPr>
      <w:r>
        <w:rPr>
          <w:rFonts w:hint="eastAsia"/>
          <w:b/>
          <w:bCs/>
          <w:kern w:val="0"/>
          <w:szCs w:val="21"/>
        </w:rPr>
        <w:t>通知和送达</w:t>
      </w:r>
    </w:p>
    <w:p w14:paraId="0CBC20DB">
      <w:pPr>
        <w:pStyle w:val="16"/>
        <w:numPr>
          <w:ilvl w:val="1"/>
          <w:numId w:val="15"/>
        </w:numPr>
        <w:spacing w:line="360" w:lineRule="exact"/>
        <w:ind w:firstLineChars="0"/>
        <w:rPr>
          <w:b/>
          <w:bCs/>
          <w:kern w:val="0"/>
          <w:szCs w:val="21"/>
        </w:rPr>
      </w:pPr>
      <w:r>
        <w:rPr>
          <w:rFonts w:hint="eastAsia"/>
          <w:b/>
          <w:bCs/>
          <w:kern w:val="0"/>
          <w:szCs w:val="21"/>
        </w:rPr>
        <w:t>关于通知和送达约定条款</w:t>
      </w:r>
    </w:p>
    <w:p w14:paraId="7D6E9A6D">
      <w:pPr>
        <w:numPr>
          <w:ilvl w:val="0"/>
          <w:numId w:val="16"/>
        </w:numPr>
        <w:spacing w:line="360" w:lineRule="exact"/>
        <w:ind w:left="535" w:hanging="535" w:hangingChars="254"/>
        <w:rPr>
          <w:b/>
          <w:bCs/>
          <w:kern w:val="0"/>
          <w:szCs w:val="21"/>
        </w:rPr>
      </w:pPr>
      <w:r>
        <w:rPr>
          <w:rFonts w:hint="eastAsia"/>
          <w:b/>
          <w:bCs/>
          <w:kern w:val="0"/>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p>
    <w:p w14:paraId="3CCAA76B">
      <w:pPr>
        <w:numPr>
          <w:ilvl w:val="0"/>
          <w:numId w:val="16"/>
        </w:numPr>
        <w:spacing w:line="360" w:lineRule="exact"/>
        <w:ind w:left="535" w:hanging="535" w:hangingChars="254"/>
        <w:rPr>
          <w:b/>
          <w:bCs/>
          <w:kern w:val="0"/>
          <w:szCs w:val="21"/>
        </w:rPr>
      </w:pPr>
      <w:r>
        <w:rPr>
          <w:rFonts w:hint="eastAsia"/>
          <w:b/>
          <w:bCs/>
          <w:kern w:val="0"/>
          <w:szCs w:val="21"/>
        </w:rPr>
        <w:t>本合同各方之间按照本合同条款进行的任何通讯应当在满足下列条件后视为已送达：</w:t>
      </w:r>
    </w:p>
    <w:p w14:paraId="09F46085">
      <w:pPr>
        <w:pStyle w:val="16"/>
        <w:numPr>
          <w:ilvl w:val="0"/>
          <w:numId w:val="17"/>
        </w:numPr>
        <w:spacing w:line="360" w:lineRule="exact"/>
        <w:ind w:left="1134" w:hanging="644" w:firstLineChars="0"/>
        <w:rPr>
          <w:b/>
          <w:bCs/>
          <w:kern w:val="0"/>
          <w:szCs w:val="21"/>
        </w:rPr>
      </w:pPr>
      <w:r>
        <w:rPr>
          <w:rFonts w:hint="eastAsia"/>
          <w:b/>
          <w:bCs/>
          <w:kern w:val="0"/>
          <w:szCs w:val="21"/>
        </w:rPr>
        <w:t>如通过人员递送，在收件方签收时视为送达；</w:t>
      </w:r>
    </w:p>
    <w:p w14:paraId="025D5F57">
      <w:pPr>
        <w:pStyle w:val="16"/>
        <w:numPr>
          <w:ilvl w:val="0"/>
          <w:numId w:val="17"/>
        </w:numPr>
        <w:spacing w:line="360" w:lineRule="exact"/>
        <w:ind w:left="1134" w:hanging="644" w:firstLineChars="0"/>
        <w:rPr>
          <w:b/>
          <w:bCs/>
          <w:kern w:val="0"/>
          <w:szCs w:val="21"/>
        </w:rPr>
      </w:pPr>
      <w:r>
        <w:rPr>
          <w:rFonts w:hint="eastAsia"/>
          <w:b/>
          <w:bCs/>
          <w:kern w:val="0"/>
          <w:szCs w:val="21"/>
        </w:rPr>
        <w:t>如以电传或传真传送，在传送完成并收到正确回号或传真报告时视为送达；</w:t>
      </w:r>
    </w:p>
    <w:p w14:paraId="0C4B1C75">
      <w:pPr>
        <w:pStyle w:val="16"/>
        <w:numPr>
          <w:ilvl w:val="0"/>
          <w:numId w:val="17"/>
        </w:numPr>
        <w:spacing w:line="360" w:lineRule="exact"/>
        <w:ind w:left="1134" w:hanging="644" w:firstLineChars="0"/>
        <w:rPr>
          <w:b/>
          <w:bCs/>
          <w:kern w:val="0"/>
          <w:szCs w:val="21"/>
        </w:rPr>
      </w:pPr>
      <w:r>
        <w:rPr>
          <w:rFonts w:hint="eastAsia"/>
          <w:b/>
          <w:bCs/>
          <w:kern w:val="0"/>
          <w:szCs w:val="21"/>
        </w:rPr>
        <w:t>如电子邮件传送，在电子邮件发出时视为送达；</w:t>
      </w:r>
    </w:p>
    <w:p w14:paraId="06239897">
      <w:pPr>
        <w:pStyle w:val="16"/>
        <w:numPr>
          <w:ilvl w:val="0"/>
          <w:numId w:val="17"/>
        </w:numPr>
        <w:spacing w:line="360" w:lineRule="exact"/>
        <w:ind w:left="1134" w:hanging="644" w:firstLineChars="0"/>
        <w:rPr>
          <w:b/>
          <w:bCs/>
          <w:kern w:val="0"/>
          <w:szCs w:val="21"/>
        </w:rPr>
      </w:pPr>
      <w:r>
        <w:rPr>
          <w:rFonts w:hint="eastAsia"/>
          <w:b/>
          <w:bCs/>
          <w:kern w:val="0"/>
          <w:szCs w:val="21"/>
        </w:rPr>
        <w:t>如以信函方式邮寄，以交付投递后的第七日视为送达；</w:t>
      </w:r>
    </w:p>
    <w:p w14:paraId="4FAB1020">
      <w:pPr>
        <w:spacing w:line="360" w:lineRule="exact"/>
        <w:ind w:left="535"/>
        <w:rPr>
          <w:b/>
          <w:bCs/>
          <w:kern w:val="0"/>
          <w:szCs w:val="21"/>
        </w:rPr>
      </w:pPr>
      <w:r>
        <w:rPr>
          <w:rFonts w:hint="eastAsia"/>
          <w:b/>
          <w:bCs/>
          <w:kern w:val="0"/>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2428F3D8">
      <w:pPr>
        <w:numPr>
          <w:ilvl w:val="0"/>
          <w:numId w:val="16"/>
        </w:numPr>
        <w:spacing w:line="360" w:lineRule="exact"/>
        <w:ind w:left="535" w:hanging="535" w:hangingChars="254"/>
        <w:rPr>
          <w:b/>
          <w:bCs/>
          <w:kern w:val="0"/>
          <w:szCs w:val="21"/>
        </w:rPr>
      </w:pPr>
      <w:r>
        <w:rPr>
          <w:rFonts w:hint="eastAsia"/>
          <w:b/>
          <w:bCs/>
          <w:kern w:val="0"/>
          <w:szCs w:val="21"/>
        </w:rPr>
        <w:t>本合同约定的各方地址适用于各方各类通知、协议等文件以及就合同发生纠纷时相关文件和法律文书的送达，同时包括在争议进入仲裁、民事诉讼程序后的一审、二审、再审和执行程序。</w:t>
      </w:r>
    </w:p>
    <w:p w14:paraId="002F32AD">
      <w:pPr>
        <w:numPr>
          <w:ilvl w:val="0"/>
          <w:numId w:val="16"/>
        </w:numPr>
        <w:spacing w:line="360" w:lineRule="exact"/>
        <w:ind w:left="535" w:hanging="535" w:hangingChars="254"/>
        <w:rPr>
          <w:b/>
          <w:bCs/>
          <w:kern w:val="0"/>
          <w:szCs w:val="21"/>
        </w:rPr>
      </w:pPr>
      <w:r>
        <w:rPr>
          <w:rFonts w:hint="eastAsia"/>
          <w:b/>
          <w:bCs/>
          <w:kern w:val="0"/>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36B59F76">
      <w:pPr>
        <w:spacing w:line="360" w:lineRule="exact"/>
        <w:rPr>
          <w:kern w:val="0"/>
          <w:szCs w:val="21"/>
        </w:rPr>
      </w:pPr>
    </w:p>
    <w:p w14:paraId="4A7F6B01">
      <w:pPr>
        <w:pStyle w:val="16"/>
        <w:numPr>
          <w:ilvl w:val="0"/>
          <w:numId w:val="1"/>
        </w:numPr>
        <w:spacing w:line="360" w:lineRule="exact"/>
        <w:ind w:firstLineChars="0"/>
        <w:jc w:val="center"/>
        <w:outlineLvl w:val="0"/>
        <w:rPr>
          <w:b/>
          <w:bCs/>
          <w:kern w:val="0"/>
          <w:szCs w:val="21"/>
        </w:rPr>
      </w:pPr>
      <w:r>
        <w:rPr>
          <w:rFonts w:hint="eastAsia"/>
          <w:b/>
          <w:bCs/>
          <w:kern w:val="0"/>
          <w:szCs w:val="21"/>
        </w:rPr>
        <w:t>扣收约定</w:t>
      </w:r>
    </w:p>
    <w:p w14:paraId="4CBBC0C4">
      <w:pPr>
        <w:pStyle w:val="16"/>
        <w:numPr>
          <w:ilvl w:val="1"/>
          <w:numId w:val="18"/>
        </w:numPr>
        <w:spacing w:line="360" w:lineRule="exact"/>
        <w:ind w:firstLineChars="0"/>
        <w:rPr>
          <w:b/>
          <w:bCs/>
          <w:kern w:val="0"/>
          <w:szCs w:val="21"/>
        </w:rPr>
      </w:pPr>
      <w:r>
        <w:rPr>
          <w:rFonts w:hint="eastAsia"/>
          <w:b/>
          <w:bCs/>
          <w:kern w:val="0"/>
          <w:szCs w:val="21"/>
        </w:rPr>
        <w:t>乙方在此不可撤销地同意，当乙方欠付甲方任何到期</w:t>
      </w:r>
      <w:r>
        <w:rPr>
          <w:rFonts w:hint="eastAsia"/>
          <w:b/>
          <w:kern w:val="0"/>
          <w:szCs w:val="21"/>
        </w:rPr>
        <w:t>（包括提前到期的情形）</w:t>
      </w:r>
      <w:r>
        <w:rPr>
          <w:rFonts w:hint="eastAsia"/>
          <w:b/>
          <w:bCs/>
          <w:kern w:val="0"/>
          <w:szCs w:val="21"/>
        </w:rPr>
        <w:t>应付未付债务时，甲方有权随时从乙方在平安银行任何及</w:t>
      </w:r>
      <w:r>
        <w:rPr>
          <w:b/>
          <w:bCs/>
          <w:kern w:val="0"/>
          <w:szCs w:val="21"/>
        </w:rPr>
        <w:t>/</w:t>
      </w:r>
      <w:r>
        <w:rPr>
          <w:rFonts w:hint="eastAsia"/>
          <w:b/>
          <w:bCs/>
          <w:kern w:val="0"/>
          <w:szCs w:val="21"/>
        </w:rPr>
        <w:t>或所有营业机构开立的任一账户中直接扣收该等债务本息及</w:t>
      </w:r>
      <w:r>
        <w:rPr>
          <w:b/>
          <w:bCs/>
          <w:kern w:val="0"/>
          <w:szCs w:val="21"/>
        </w:rPr>
        <w:t>/</w:t>
      </w:r>
      <w:r>
        <w:rPr>
          <w:rFonts w:hint="eastAsia"/>
          <w:b/>
          <w:bCs/>
          <w:kern w:val="0"/>
          <w:szCs w:val="21"/>
        </w:rPr>
        <w:t>或其他任何相关费用之全部或部分，及</w:t>
      </w:r>
      <w:r>
        <w:rPr>
          <w:b/>
          <w:bCs/>
          <w:kern w:val="0"/>
          <w:szCs w:val="21"/>
        </w:rPr>
        <w:t>/</w:t>
      </w:r>
      <w:r>
        <w:rPr>
          <w:rFonts w:hint="eastAsia"/>
          <w:b/>
          <w:bCs/>
          <w:kern w:val="0"/>
          <w:szCs w:val="21"/>
        </w:rPr>
        <w:t>或处置变现该等账户中的乙方资产用于清偿乙方所欠甲方债务；由此产生的利息、汇率及</w:t>
      </w:r>
      <w:r>
        <w:rPr>
          <w:b/>
          <w:bCs/>
          <w:kern w:val="0"/>
          <w:szCs w:val="21"/>
        </w:rPr>
        <w:t>/</w:t>
      </w:r>
      <w:r>
        <w:rPr>
          <w:rFonts w:hint="eastAsia"/>
          <w:b/>
          <w:bCs/>
          <w:kern w:val="0"/>
          <w:szCs w:val="21"/>
        </w:rPr>
        <w:t>或投资损失由乙方承担。</w:t>
      </w:r>
    </w:p>
    <w:p w14:paraId="0A7DB529">
      <w:pPr>
        <w:pStyle w:val="16"/>
        <w:numPr>
          <w:ilvl w:val="1"/>
          <w:numId w:val="18"/>
        </w:numPr>
        <w:spacing w:line="360" w:lineRule="exact"/>
        <w:ind w:firstLineChars="0"/>
        <w:rPr>
          <w:b/>
          <w:bCs/>
          <w:kern w:val="0"/>
          <w:szCs w:val="21"/>
        </w:rPr>
      </w:pPr>
      <w:r>
        <w:rPr>
          <w:rFonts w:hint="eastAsia"/>
          <w:b/>
          <w:bCs/>
          <w:kern w:val="0"/>
          <w:szCs w:val="21"/>
        </w:rPr>
        <w:t>甲方在扣收或处置变现扣收后通知乙方，并有权继续向乙方追索不足部分（若有）；扣收所得款项涉及多笔债权或不足以清偿全部到期债务（包括本金、利息及</w:t>
      </w:r>
      <w:r>
        <w:rPr>
          <w:b/>
          <w:bCs/>
          <w:kern w:val="0"/>
          <w:szCs w:val="21"/>
        </w:rPr>
        <w:t>/</w:t>
      </w:r>
      <w:r>
        <w:rPr>
          <w:rFonts w:hint="eastAsia"/>
          <w:b/>
          <w:bCs/>
          <w:kern w:val="0"/>
          <w:szCs w:val="21"/>
        </w:rPr>
        <w:t>或费用）时，除非本合同另有明确规定，甲方有权决定所扣收款项的具体清偿顺序。</w:t>
      </w:r>
    </w:p>
    <w:p w14:paraId="51505A68">
      <w:pPr>
        <w:pStyle w:val="16"/>
        <w:numPr>
          <w:ilvl w:val="1"/>
          <w:numId w:val="18"/>
        </w:numPr>
        <w:spacing w:line="360" w:lineRule="exact"/>
        <w:ind w:firstLineChars="0"/>
        <w:rPr>
          <w:b/>
          <w:bCs/>
          <w:kern w:val="0"/>
          <w:szCs w:val="21"/>
        </w:rPr>
      </w:pPr>
      <w:r>
        <w:rPr>
          <w:rFonts w:hint="eastAsia"/>
          <w:b/>
          <w:bCs/>
          <w:kern w:val="0"/>
          <w:szCs w:val="21"/>
        </w:rPr>
        <w:t>扣收过程中涉及币种换算的，按甲方扣收时公布的外汇汇率执行。</w:t>
      </w:r>
    </w:p>
    <w:p w14:paraId="101E3545">
      <w:pPr>
        <w:pStyle w:val="16"/>
        <w:spacing w:line="360" w:lineRule="exact"/>
        <w:ind w:left="531" w:firstLine="0" w:firstLineChars="0"/>
        <w:rPr>
          <w:kern w:val="0"/>
          <w:szCs w:val="21"/>
        </w:rPr>
      </w:pPr>
    </w:p>
    <w:p w14:paraId="63343F5D">
      <w:pPr>
        <w:pStyle w:val="16"/>
        <w:numPr>
          <w:ilvl w:val="0"/>
          <w:numId w:val="1"/>
        </w:numPr>
        <w:spacing w:line="360" w:lineRule="exact"/>
        <w:ind w:firstLineChars="0"/>
        <w:jc w:val="center"/>
        <w:outlineLvl w:val="0"/>
        <w:rPr>
          <w:b/>
          <w:bCs/>
          <w:kern w:val="0"/>
          <w:szCs w:val="21"/>
        </w:rPr>
      </w:pPr>
      <w:r>
        <w:rPr>
          <w:rFonts w:hint="eastAsia"/>
          <w:b/>
          <w:bCs/>
          <w:kern w:val="0"/>
          <w:szCs w:val="21"/>
        </w:rPr>
        <w:t>其他约定事项</w:t>
      </w:r>
    </w:p>
    <w:p w14:paraId="72C25C68">
      <w:pPr>
        <w:spacing w:line="360" w:lineRule="exact"/>
        <w:rPr>
          <w:kern w:val="0"/>
          <w:szCs w:val="21"/>
        </w:rPr>
      </w:pPr>
      <w:r>
        <w:rPr>
          <w:kern w:val="0"/>
          <w:szCs w:val="21"/>
        </w:rPr>
        <w:t>______________________________________________________________________________________________________________________________________________________________</w:t>
      </w:r>
    </w:p>
    <w:p w14:paraId="0CB8F534">
      <w:pPr>
        <w:spacing w:line="360" w:lineRule="exact"/>
        <w:rPr>
          <w:kern w:val="0"/>
          <w:szCs w:val="21"/>
          <w:u w:val="single"/>
        </w:rPr>
      </w:pPr>
      <w:r>
        <w:rPr>
          <w:kern w:val="0"/>
          <w:szCs w:val="21"/>
        </w:rPr>
        <w:t>_______________________________________________________________________________</w:t>
      </w:r>
    </w:p>
    <w:p w14:paraId="11FB89E0">
      <w:pPr>
        <w:spacing w:line="360" w:lineRule="exact"/>
        <w:rPr>
          <w:kern w:val="0"/>
          <w:szCs w:val="21"/>
        </w:rPr>
      </w:pPr>
      <w:r>
        <w:rPr>
          <w:kern w:val="0"/>
          <w:szCs w:val="21"/>
        </w:rPr>
        <w:t>_______________________________________________________________________________</w:t>
      </w:r>
    </w:p>
    <w:p w14:paraId="3DAD69BD">
      <w:pPr>
        <w:spacing w:line="360" w:lineRule="exact"/>
        <w:rPr>
          <w:kern w:val="0"/>
          <w:szCs w:val="21"/>
          <w:u w:val="single"/>
        </w:rPr>
      </w:pPr>
    </w:p>
    <w:p w14:paraId="51E44455">
      <w:pPr>
        <w:pStyle w:val="16"/>
        <w:numPr>
          <w:ilvl w:val="0"/>
          <w:numId w:val="1"/>
        </w:numPr>
        <w:spacing w:line="360" w:lineRule="exact"/>
        <w:ind w:firstLineChars="0"/>
        <w:jc w:val="center"/>
        <w:outlineLvl w:val="0"/>
        <w:rPr>
          <w:b/>
          <w:bCs/>
          <w:kern w:val="0"/>
          <w:szCs w:val="21"/>
        </w:rPr>
      </w:pPr>
      <w:r>
        <w:rPr>
          <w:rFonts w:hint="eastAsia"/>
          <w:b/>
          <w:bCs/>
          <w:kern w:val="0"/>
          <w:szCs w:val="21"/>
        </w:rPr>
        <w:t>附则</w:t>
      </w:r>
    </w:p>
    <w:p w14:paraId="17F229F5">
      <w:pPr>
        <w:pStyle w:val="16"/>
        <w:numPr>
          <w:ilvl w:val="1"/>
          <w:numId w:val="19"/>
        </w:numPr>
        <w:spacing w:line="360" w:lineRule="exact"/>
        <w:ind w:firstLineChars="0"/>
        <w:rPr>
          <w:kern w:val="0"/>
          <w:szCs w:val="21"/>
        </w:rPr>
      </w:pPr>
      <w:r>
        <w:rPr>
          <w:rFonts w:hint="eastAsia"/>
          <w:kern w:val="0"/>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4AC13122">
      <w:pPr>
        <w:pStyle w:val="16"/>
        <w:numPr>
          <w:ilvl w:val="1"/>
          <w:numId w:val="19"/>
        </w:numPr>
        <w:spacing w:line="360" w:lineRule="exact"/>
        <w:ind w:firstLineChars="0"/>
        <w:rPr>
          <w:kern w:val="0"/>
          <w:szCs w:val="21"/>
        </w:rPr>
      </w:pPr>
      <w:r>
        <w:rPr>
          <w:rFonts w:hint="eastAsia"/>
          <w:kern w:val="0"/>
          <w:szCs w:val="21"/>
        </w:rPr>
        <w:t>有关公证的特别约定：</w:t>
      </w:r>
    </w:p>
    <w:p w14:paraId="655D2F50">
      <w:pPr>
        <w:pStyle w:val="16"/>
        <w:spacing w:line="360" w:lineRule="exact"/>
        <w:ind w:left="531" w:firstLine="0" w:firstLineChars="0"/>
        <w:rPr>
          <w:kern w:val="0"/>
          <w:szCs w:val="21"/>
        </w:rPr>
      </w:pPr>
      <w:bookmarkStart w:id="2" w:name="_Hlk525121711"/>
      <w:r>
        <w:rPr>
          <w:rFonts w:hint="eastAsia"/>
          <w:kern w:val="0"/>
          <w:szCs w:val="21"/>
        </w:rPr>
        <w:t>□</w:t>
      </w:r>
      <w:r>
        <w:rPr>
          <w:kern w:val="0"/>
          <w:szCs w:val="21"/>
        </w:rPr>
        <w:tab/>
      </w:r>
      <w:r>
        <w:rPr>
          <w:rFonts w:hint="eastAsia"/>
          <w:kern w:val="0"/>
          <w:szCs w:val="21"/>
        </w:rPr>
        <w:t>双方同意对本合同办理强制执行公证。</w:t>
      </w:r>
    </w:p>
    <w:bookmarkEnd w:id="2"/>
    <w:p w14:paraId="52EF78E8">
      <w:pPr>
        <w:pStyle w:val="16"/>
        <w:spacing w:line="360" w:lineRule="exact"/>
        <w:ind w:left="840" w:firstLine="0" w:firstLineChars="0"/>
        <w:rPr>
          <w:kern w:val="0"/>
          <w:szCs w:val="21"/>
        </w:rPr>
      </w:pPr>
      <w:r>
        <w:rPr>
          <w:rFonts w:hint="eastAsia"/>
          <w:kern w:val="0"/>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0D99EDF9">
      <w:pPr>
        <w:pStyle w:val="16"/>
        <w:spacing w:line="360" w:lineRule="exact"/>
        <w:ind w:left="531" w:firstLine="0" w:firstLineChars="0"/>
        <w:rPr>
          <w:kern w:val="0"/>
          <w:szCs w:val="21"/>
        </w:rPr>
      </w:pPr>
      <w:bookmarkStart w:id="3" w:name="_Hlk525121716"/>
      <w:r>
        <w:rPr>
          <w:rFonts w:hint="eastAsia"/>
          <w:kern w:val="0"/>
          <w:szCs w:val="21"/>
        </w:rPr>
        <w:sym w:font="Wingdings 2" w:char="0052"/>
      </w:r>
      <w:r>
        <w:rPr>
          <w:kern w:val="0"/>
          <w:szCs w:val="21"/>
        </w:rPr>
        <w:tab/>
      </w:r>
      <w:r>
        <w:rPr>
          <w:rFonts w:hint="eastAsia"/>
          <w:kern w:val="0"/>
          <w:szCs w:val="21"/>
        </w:rPr>
        <w:t>本合同不办理强制执行公证。</w:t>
      </w:r>
    </w:p>
    <w:bookmarkEnd w:id="3"/>
    <w:p w14:paraId="387001E3">
      <w:pPr>
        <w:pStyle w:val="16"/>
        <w:numPr>
          <w:ilvl w:val="1"/>
          <w:numId w:val="19"/>
        </w:numPr>
        <w:spacing w:line="360" w:lineRule="exact"/>
        <w:ind w:firstLineChars="0"/>
        <w:rPr>
          <w:kern w:val="0"/>
          <w:szCs w:val="21"/>
        </w:rPr>
      </w:pPr>
      <w:bookmarkStart w:id="4" w:name="_Hlk529474547"/>
      <w:r>
        <w:rPr>
          <w:rFonts w:hint="eastAsia"/>
          <w:kern w:val="0"/>
          <w:szCs w:val="21"/>
        </w:rPr>
        <w:t>在本合同生效期间，甲方对乙方的任何违约或延误行为施以任何宽容、宽限或延缓行使本合同内甲方应享有的权利，均不能损害、影响或限制甲方依本合同和有关法律规定作为债权人应享有的一切权利，不能</w:t>
      </w:r>
      <w:r>
        <w:rPr>
          <w:rFonts w:hint="eastAsia" w:ascii="宋体" w:hAnsi="宋体"/>
          <w:kern w:val="0"/>
          <w:szCs w:val="21"/>
        </w:rPr>
        <w:t>作为</w:t>
      </w:r>
      <w:r>
        <w:rPr>
          <w:rFonts w:hint="eastAsia"/>
          <w:kern w:val="0"/>
          <w:szCs w:val="21"/>
        </w:rPr>
        <w:t>甲方对任何破坏本合同行为的许可或认可，也不能视为甲方放弃对现有或将来违约行为采取行动的权利。</w:t>
      </w:r>
    </w:p>
    <w:bookmarkEnd w:id="4"/>
    <w:p w14:paraId="60ECF52C">
      <w:pPr>
        <w:pStyle w:val="16"/>
        <w:numPr>
          <w:ilvl w:val="1"/>
          <w:numId w:val="19"/>
        </w:numPr>
        <w:spacing w:line="360" w:lineRule="exact"/>
        <w:ind w:firstLineChars="0"/>
        <w:rPr>
          <w:rFonts w:ascii="宋体" w:hAnsi="宋体"/>
          <w:kern w:val="0"/>
          <w:szCs w:val="21"/>
        </w:rPr>
      </w:pPr>
      <w:r>
        <w:rPr>
          <w:rFonts w:hint="eastAsia" w:ascii="宋体" w:hAnsi="宋体"/>
          <w:kern w:val="0"/>
          <w:szCs w:val="21"/>
        </w:rPr>
        <w:t>债权证据及其他文件。</w:t>
      </w:r>
    </w:p>
    <w:p w14:paraId="7266D2F7">
      <w:pPr>
        <w:pStyle w:val="16"/>
        <w:numPr>
          <w:ilvl w:val="0"/>
          <w:numId w:val="20"/>
        </w:numPr>
        <w:spacing w:line="360" w:lineRule="exact"/>
        <w:ind w:left="1134" w:hanging="644" w:firstLineChars="0"/>
        <w:rPr>
          <w:rFonts w:ascii="宋体" w:hAnsi="宋体"/>
          <w:kern w:val="0"/>
          <w:szCs w:val="21"/>
        </w:rPr>
      </w:pPr>
      <w:r>
        <w:rPr>
          <w:rFonts w:hint="eastAsia" w:ascii="宋体" w:hAnsi="宋体"/>
          <w:kern w:val="0"/>
          <w:szCs w:val="21"/>
        </w:rPr>
        <w:t>本合同项下所涉单项授信申请书、授信合同、借款借据、授信凭证以及形成债权债务关系的其他法律性文件（包括但不限于甲方向乙方发送的所有与本合同有关的法律性文件、双方在办理业务过程中所形成的支付凭证、账户月结单、甲方所保存的有关乙方账户的交易记录、甲方向乙方发送的各种通知、</w:t>
      </w:r>
      <w:r>
        <w:rPr>
          <w:rFonts w:hint="eastAsia" w:ascii="宋体" w:hAnsi="宋体"/>
          <w:bCs/>
          <w:kern w:val="0"/>
          <w:szCs w:val="21"/>
        </w:rPr>
        <w:t>乙方向甲方单方面出具的承诺函、声明书等文件</w:t>
      </w:r>
      <w:r>
        <w:rPr>
          <w:rFonts w:hint="eastAsia" w:ascii="宋体" w:hAnsi="宋体"/>
          <w:kern w:val="0"/>
          <w:szCs w:val="21"/>
        </w:rPr>
        <w:t>等），均为本合同的有效组成部分，具同等法律效力。</w:t>
      </w:r>
    </w:p>
    <w:p w14:paraId="5D2B976A">
      <w:pPr>
        <w:pStyle w:val="16"/>
        <w:numPr>
          <w:ilvl w:val="0"/>
          <w:numId w:val="20"/>
        </w:numPr>
        <w:spacing w:line="360" w:lineRule="exact"/>
        <w:ind w:left="1134" w:hanging="644" w:firstLineChars="0"/>
        <w:rPr>
          <w:rFonts w:ascii="宋体" w:hAnsi="宋体"/>
          <w:b/>
          <w:kern w:val="0"/>
          <w:szCs w:val="21"/>
        </w:rPr>
      </w:pPr>
      <w:r>
        <w:rPr>
          <w:rFonts w:hint="eastAsia" w:ascii="宋体" w:hAnsi="宋体"/>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198F3D80">
      <w:pPr>
        <w:pStyle w:val="16"/>
        <w:numPr>
          <w:ilvl w:val="0"/>
          <w:numId w:val="20"/>
        </w:numPr>
        <w:spacing w:line="360" w:lineRule="exact"/>
        <w:ind w:left="1134" w:hanging="644" w:firstLineChars="0"/>
        <w:rPr>
          <w:rFonts w:ascii="宋体" w:hAnsi="宋体"/>
          <w:b/>
          <w:kern w:val="0"/>
          <w:szCs w:val="21"/>
        </w:rPr>
      </w:pPr>
      <w:r>
        <w:rPr>
          <w:rFonts w:hint="eastAsia" w:ascii="宋体" w:hAnsi="宋体"/>
          <w:b/>
          <w:kern w:val="0"/>
          <w:szCs w:val="21"/>
        </w:rPr>
        <w:t>就对账单而言，如乙方对甲方提供的业务对账单相关内容有异议的，应在收到对账单后的十日内提出，否则，视为乙方已认可对账单所列全部内容。</w:t>
      </w:r>
    </w:p>
    <w:p w14:paraId="4DE931D6">
      <w:pPr>
        <w:pStyle w:val="16"/>
        <w:numPr>
          <w:ilvl w:val="0"/>
          <w:numId w:val="20"/>
        </w:numPr>
        <w:spacing w:line="360" w:lineRule="exact"/>
        <w:ind w:left="1134" w:hanging="644" w:firstLineChars="0"/>
        <w:rPr>
          <w:rFonts w:ascii="宋体" w:hAnsi="宋体"/>
          <w:kern w:val="0"/>
          <w:szCs w:val="21"/>
        </w:rPr>
      </w:pPr>
      <w:r>
        <w:rPr>
          <w:rFonts w:ascii="宋体" w:hAnsi="宋体"/>
          <w:kern w:val="0"/>
          <w:szCs w:val="21"/>
        </w:rPr>
        <w:t>本合同未尽事宜需要补充的，双方可约定并记载于</w:t>
      </w:r>
      <w:r>
        <w:rPr>
          <w:rFonts w:hint="eastAsia" w:ascii="宋体" w:hAnsi="宋体"/>
          <w:kern w:val="0"/>
          <w:szCs w:val="21"/>
        </w:rPr>
        <w:t>上述第十条（其他约定事项）中，也可以</w:t>
      </w:r>
      <w:r>
        <w:rPr>
          <w:rFonts w:ascii="宋体" w:hAnsi="宋体"/>
          <w:kern w:val="0"/>
          <w:szCs w:val="21"/>
        </w:rPr>
        <w:t>另行达成书面</w:t>
      </w:r>
      <w:r>
        <w:rPr>
          <w:rFonts w:hint="eastAsia" w:ascii="宋体" w:hAnsi="宋体"/>
          <w:kern w:val="0"/>
          <w:szCs w:val="21"/>
        </w:rPr>
        <w:t>协议作为本合同附件；本合同附件为</w:t>
      </w:r>
      <w:r>
        <w:rPr>
          <w:rFonts w:ascii="宋体" w:hAnsi="宋体"/>
          <w:kern w:val="0"/>
          <w:szCs w:val="21"/>
        </w:rPr>
        <w:t>本合同不可分割的组成部分，与本合同正文具有同等的法律效力。</w:t>
      </w:r>
    </w:p>
    <w:p w14:paraId="5A71ABF2">
      <w:pPr>
        <w:pStyle w:val="16"/>
        <w:numPr>
          <w:ilvl w:val="1"/>
          <w:numId w:val="19"/>
        </w:numPr>
        <w:spacing w:line="360" w:lineRule="exact"/>
        <w:ind w:firstLineChars="0"/>
        <w:rPr>
          <w:b/>
          <w:bCs/>
          <w:kern w:val="0"/>
          <w:szCs w:val="21"/>
        </w:rPr>
      </w:pPr>
      <w:r>
        <w:rPr>
          <w:rFonts w:hint="eastAsia"/>
          <w:b/>
          <w:bCs/>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5D065624">
      <w:pPr>
        <w:pStyle w:val="16"/>
        <w:numPr>
          <w:ilvl w:val="1"/>
          <w:numId w:val="19"/>
        </w:numPr>
        <w:spacing w:line="360" w:lineRule="exact"/>
        <w:ind w:firstLineChars="0"/>
        <w:rPr>
          <w:b/>
          <w:kern w:val="0"/>
          <w:szCs w:val="21"/>
        </w:rPr>
      </w:pPr>
      <w:r>
        <w:rPr>
          <w:rFonts w:hint="eastAsia"/>
          <w:b/>
          <w:bCs/>
          <w:kern w:val="0"/>
          <w:szCs w:val="21"/>
        </w:rPr>
        <w:t>乙方在此明确同意在本合同履行过程中甲方可以将本合同项下的权利和义务全部或部分转让给平安银行分支机构或关联机构或其他第三方，而无需重复征求乙方意见；为转让目的，</w:t>
      </w:r>
      <w:r>
        <w:rPr>
          <w:rFonts w:hint="eastAsia"/>
          <w:b/>
          <w:kern w:val="0"/>
          <w:szCs w:val="21"/>
        </w:rPr>
        <w:t>甲方可就本合同向潜在受让方合理披露本合同项下有关乙方的</w:t>
      </w:r>
      <w:r>
        <w:rPr>
          <w:rFonts w:hint="eastAsia"/>
          <w:b/>
          <w:bCs/>
          <w:kern w:val="0"/>
          <w:szCs w:val="21"/>
        </w:rPr>
        <w:t>资料</w:t>
      </w:r>
      <w:r>
        <w:rPr>
          <w:rFonts w:hint="eastAsia"/>
          <w:b/>
          <w:kern w:val="0"/>
          <w:szCs w:val="21"/>
        </w:rPr>
        <w:t>；未经甲方同意，乙方不得转让其在本合同项下任何权利及</w:t>
      </w:r>
      <w:r>
        <w:rPr>
          <w:b/>
          <w:kern w:val="0"/>
          <w:szCs w:val="21"/>
        </w:rPr>
        <w:t>/</w:t>
      </w:r>
      <w:r>
        <w:rPr>
          <w:rFonts w:hint="eastAsia"/>
          <w:b/>
          <w:kern w:val="0"/>
          <w:szCs w:val="21"/>
        </w:rPr>
        <w:t>或义务。</w:t>
      </w:r>
    </w:p>
    <w:p w14:paraId="484C6063">
      <w:pPr>
        <w:pStyle w:val="16"/>
        <w:numPr>
          <w:ilvl w:val="1"/>
          <w:numId w:val="19"/>
        </w:numPr>
        <w:spacing w:line="360" w:lineRule="exact"/>
        <w:ind w:firstLineChars="0"/>
        <w:rPr>
          <w:kern w:val="0"/>
          <w:szCs w:val="21"/>
        </w:rPr>
      </w:pPr>
      <w:bookmarkStart w:id="5" w:name="_Hlk529474580"/>
      <w:r>
        <w:rPr>
          <w:rFonts w:hint="eastAsia"/>
          <w:b/>
          <w:kern w:val="0"/>
          <w:szCs w:val="21"/>
        </w:rPr>
        <w:t>本合同任何内容不论因何种原因而在法律上成为无效或部分无效，不影响其他条款或内容的有效性；若发生前述情形，甲方有权终止本合同，并向乙方追索本合同项下所有授信本息及其它有关款项；乙方应当配合立即向甲方返还全部授信本金、以及相当于按照本合同约定应计的利息及其他费用的款项。</w:t>
      </w:r>
      <w:bookmarkEnd w:id="5"/>
    </w:p>
    <w:p w14:paraId="63DC085C">
      <w:pPr>
        <w:pStyle w:val="16"/>
        <w:numPr>
          <w:ilvl w:val="1"/>
          <w:numId w:val="19"/>
        </w:numPr>
        <w:spacing w:line="360" w:lineRule="exact"/>
        <w:ind w:firstLineChars="0"/>
        <w:rPr>
          <w:b/>
          <w:bCs/>
          <w:kern w:val="0"/>
          <w:szCs w:val="21"/>
        </w:rPr>
      </w:pPr>
      <w:r>
        <w:rPr>
          <w:rFonts w:hint="eastAsia"/>
          <w:b/>
          <w:bCs/>
          <w:kern w:val="0"/>
          <w:szCs w:val="21"/>
        </w:rPr>
        <w:t>本合同适用中华人民共和国大陆地区法律并按其解释；甲乙双方在履行本合同过程中所发生的争议，由双方协商解决；协商不成的，按下列第</w:t>
      </w:r>
      <w:r>
        <w:rPr>
          <w:rFonts w:hint="eastAsia" w:ascii="Arial" w:hAnsi="Arial" w:cs="Arial"/>
          <w:bCs/>
          <w:kern w:val="0"/>
          <w:szCs w:val="21"/>
          <w:u w:val="single"/>
          <w:lang w:eastAsia="zh-CN"/>
        </w:rPr>
        <w:t>（</w:t>
      </w:r>
      <w:r>
        <w:rPr>
          <w:rFonts w:hint="eastAsia" w:ascii="Arial" w:hAnsi="Arial" w:cs="Arial"/>
          <w:bCs/>
          <w:kern w:val="0"/>
          <w:szCs w:val="21"/>
          <w:u w:val="single"/>
          <w:lang w:val="en-US" w:eastAsia="zh-CN"/>
        </w:rPr>
        <w:t>2</w:t>
      </w:r>
      <w:r>
        <w:rPr>
          <w:rFonts w:hint="eastAsia" w:ascii="Arial" w:hAnsi="Arial" w:cs="Arial"/>
          <w:bCs/>
          <w:kern w:val="0"/>
          <w:szCs w:val="21"/>
          <w:u w:val="single"/>
          <w:lang w:eastAsia="zh-CN"/>
        </w:rPr>
        <w:t>）</w:t>
      </w:r>
      <w:r>
        <w:rPr>
          <w:rFonts w:hint="eastAsia"/>
          <w:b/>
          <w:bCs/>
          <w:kern w:val="0"/>
          <w:szCs w:val="21"/>
        </w:rPr>
        <w:t>项方式解决：</w:t>
      </w:r>
    </w:p>
    <w:p w14:paraId="296C1B2B">
      <w:pPr>
        <w:pStyle w:val="16"/>
        <w:numPr>
          <w:ilvl w:val="0"/>
          <w:numId w:val="21"/>
        </w:numPr>
        <w:spacing w:line="360" w:lineRule="exact"/>
        <w:ind w:left="1134" w:hanging="644" w:firstLineChars="0"/>
        <w:rPr>
          <w:rFonts w:ascii="Arial" w:hAnsi="Arial"/>
          <w:b/>
          <w:kern w:val="0"/>
        </w:rPr>
      </w:pPr>
      <w:r>
        <w:rPr>
          <w:rFonts w:hint="eastAsia" w:ascii="Arial" w:hAnsi="Arial"/>
          <w:b/>
          <w:kern w:val="0"/>
        </w:rPr>
        <w:t>向</w:t>
      </w:r>
      <w:r>
        <w:rPr>
          <w:rFonts w:ascii="Arial" w:hAnsi="Arial"/>
          <w:kern w:val="0"/>
        </w:rPr>
        <w:t>____________</w:t>
      </w:r>
      <w:r>
        <w:rPr>
          <w:rFonts w:hint="eastAsia" w:ascii="Arial" w:hAnsi="Arial"/>
          <w:kern w:val="0"/>
          <w:lang w:val="en-US" w:eastAsia="zh-CN"/>
        </w:rPr>
        <w:t>/</w:t>
      </w:r>
      <w:r>
        <w:rPr>
          <w:rFonts w:ascii="Arial" w:hAnsi="Arial"/>
          <w:kern w:val="0"/>
        </w:rPr>
        <w:t>_________________</w:t>
      </w:r>
      <w:r>
        <w:rPr>
          <w:rFonts w:hint="eastAsia" w:ascii="Arial" w:hAnsi="Arial"/>
          <w:b/>
          <w:kern w:val="0"/>
        </w:rPr>
        <w:t>申请仲裁，按照申请仲裁时该仲裁机构实施的仲裁规则进行仲裁。仲裁裁决是终局的，对双方均有约束力。</w:t>
      </w:r>
    </w:p>
    <w:p w14:paraId="3AA9F802">
      <w:pPr>
        <w:pStyle w:val="16"/>
        <w:numPr>
          <w:ilvl w:val="0"/>
          <w:numId w:val="21"/>
        </w:numPr>
        <w:spacing w:line="360" w:lineRule="exact"/>
        <w:ind w:left="1134" w:hanging="644" w:firstLineChars="0"/>
        <w:rPr>
          <w:rFonts w:ascii="Arial" w:hAnsi="Arial"/>
          <w:b/>
          <w:kern w:val="0"/>
        </w:rPr>
      </w:pPr>
      <w:r>
        <w:rPr>
          <w:rFonts w:hint="eastAsia" w:ascii="Arial" w:hAnsi="Arial"/>
          <w:b/>
          <w:kern w:val="0"/>
        </w:rPr>
        <w:t>向甲方所在地人民法院提起诉讼。</w:t>
      </w:r>
    </w:p>
    <w:p w14:paraId="0504EBB4">
      <w:pPr>
        <w:pStyle w:val="16"/>
        <w:numPr>
          <w:ilvl w:val="0"/>
          <w:numId w:val="21"/>
        </w:numPr>
        <w:spacing w:line="360" w:lineRule="exact"/>
        <w:ind w:left="1134" w:hanging="644" w:firstLineChars="0"/>
        <w:rPr>
          <w:rFonts w:ascii="Arial" w:hAnsi="Arial"/>
          <w:b/>
          <w:kern w:val="0"/>
        </w:rPr>
      </w:pPr>
      <w:r>
        <w:rPr>
          <w:rFonts w:hint="eastAsia" w:ascii="Arial" w:hAnsi="Arial"/>
          <w:b/>
          <w:kern w:val="0"/>
        </w:rPr>
        <w:t>向</w:t>
      </w:r>
      <w:r>
        <w:rPr>
          <w:rFonts w:ascii="Arial" w:hAnsi="Arial"/>
          <w:kern w:val="0"/>
        </w:rPr>
        <w:t>___________</w:t>
      </w:r>
      <w:r>
        <w:rPr>
          <w:rFonts w:hint="eastAsia" w:ascii="Arial" w:hAnsi="Arial"/>
          <w:kern w:val="0"/>
          <w:lang w:val="en-US" w:eastAsia="zh-CN"/>
        </w:rPr>
        <w:t>/</w:t>
      </w:r>
      <w:r>
        <w:rPr>
          <w:rFonts w:ascii="Arial" w:hAnsi="Arial"/>
          <w:kern w:val="0"/>
        </w:rPr>
        <w:t>____________________</w:t>
      </w:r>
      <w:r>
        <w:rPr>
          <w:rFonts w:hint="eastAsia" w:ascii="Arial" w:hAnsi="Arial"/>
          <w:b/>
          <w:kern w:val="0"/>
        </w:rPr>
        <w:t>人民法院提起诉讼。</w:t>
      </w:r>
    </w:p>
    <w:p w14:paraId="510255A2">
      <w:pPr>
        <w:pStyle w:val="16"/>
        <w:numPr>
          <w:ilvl w:val="1"/>
          <w:numId w:val="19"/>
        </w:numPr>
        <w:spacing w:line="360" w:lineRule="exact"/>
        <w:ind w:firstLineChars="0"/>
        <w:rPr>
          <w:b/>
          <w:kern w:val="0"/>
          <w:szCs w:val="21"/>
        </w:rPr>
      </w:pPr>
      <w:r>
        <w:rPr>
          <w:rFonts w:hint="eastAsia"/>
          <w:bCs/>
          <w:kern w:val="0"/>
          <w:szCs w:val="21"/>
        </w:rPr>
        <w:t>本合同经各方当事人签署（应由其有权签字人签字或加盖印章，并加盖公章）后生效。</w:t>
      </w:r>
    </w:p>
    <w:p w14:paraId="4086204B">
      <w:pPr>
        <w:pStyle w:val="16"/>
        <w:numPr>
          <w:ilvl w:val="1"/>
          <w:numId w:val="19"/>
        </w:numPr>
        <w:spacing w:line="360" w:lineRule="exact"/>
        <w:ind w:firstLineChars="0"/>
        <w:rPr>
          <w:kern w:val="0"/>
          <w:szCs w:val="21"/>
        </w:rPr>
      </w:pPr>
      <w:r>
        <w:rPr>
          <w:rFonts w:hint="eastAsia"/>
          <w:bCs/>
          <w:kern w:val="0"/>
          <w:szCs w:val="21"/>
        </w:rPr>
        <w:t>本合同正本一式</w:t>
      </w:r>
      <w:r>
        <w:rPr>
          <w:rFonts w:hint="eastAsia"/>
          <w:bCs/>
          <w:kern w:val="0"/>
          <w:szCs w:val="21"/>
          <w:u w:val="single"/>
          <w:lang w:val="en-US" w:eastAsia="zh-CN"/>
        </w:rPr>
        <w:t>叁</w:t>
      </w:r>
      <w:r>
        <w:rPr>
          <w:rFonts w:hint="eastAsia"/>
          <w:bCs/>
          <w:kern w:val="0"/>
          <w:szCs w:val="21"/>
        </w:rPr>
        <w:t>份，甲方执</w:t>
      </w:r>
      <w:r>
        <w:rPr>
          <w:rFonts w:hint="eastAsia"/>
          <w:bCs/>
          <w:kern w:val="0"/>
          <w:szCs w:val="21"/>
          <w:u w:val="single"/>
          <w:lang w:eastAsia="zh-CN"/>
        </w:rPr>
        <w:t>贰</w:t>
      </w:r>
      <w:r>
        <w:rPr>
          <w:rFonts w:hint="eastAsia"/>
          <w:bCs/>
          <w:kern w:val="0"/>
          <w:szCs w:val="21"/>
        </w:rPr>
        <w:t>份，乙方执</w:t>
      </w:r>
      <w:r>
        <w:rPr>
          <w:rFonts w:hint="eastAsia"/>
          <w:bCs/>
          <w:kern w:val="0"/>
          <w:szCs w:val="21"/>
          <w:u w:val="single"/>
          <w:lang w:val="en-US" w:eastAsia="zh-CN"/>
        </w:rPr>
        <w:t>壹</w:t>
      </w:r>
      <w:r>
        <w:rPr>
          <w:rFonts w:hint="eastAsia"/>
          <w:bCs/>
          <w:kern w:val="0"/>
          <w:szCs w:val="21"/>
        </w:rPr>
        <w:t>份以及 □</w:t>
      </w:r>
      <w:r>
        <w:rPr>
          <w:bCs/>
          <w:kern w:val="0"/>
          <w:szCs w:val="21"/>
        </w:rPr>
        <w:t xml:space="preserve"> </w:t>
      </w:r>
      <w:r>
        <w:rPr>
          <w:rFonts w:hint="eastAsia"/>
          <w:bCs/>
          <w:kern w:val="0"/>
          <w:szCs w:val="21"/>
        </w:rPr>
        <w:t>担保人执</w:t>
      </w:r>
      <w:r>
        <w:rPr>
          <w:bCs/>
          <w:kern w:val="0"/>
          <w:szCs w:val="21"/>
        </w:rPr>
        <w:t>_____</w:t>
      </w:r>
      <w:r>
        <w:rPr>
          <w:rFonts w:hint="eastAsia"/>
          <w:bCs/>
          <w:kern w:val="0"/>
          <w:szCs w:val="21"/>
        </w:rPr>
        <w:t>份、</w:t>
      </w:r>
      <w:r>
        <w:rPr>
          <w:bCs/>
          <w:kern w:val="0"/>
          <w:szCs w:val="21"/>
        </w:rPr>
        <w:t xml:space="preserve"> </w:t>
      </w:r>
      <w:r>
        <w:rPr>
          <w:rFonts w:hint="eastAsia"/>
          <w:bCs/>
          <w:kern w:val="0"/>
          <w:szCs w:val="21"/>
        </w:rPr>
        <w:t>□</w:t>
      </w:r>
      <w:r>
        <w:rPr>
          <w:bCs/>
          <w:kern w:val="0"/>
          <w:szCs w:val="21"/>
        </w:rPr>
        <w:t xml:space="preserve"> </w:t>
      </w:r>
      <w:r>
        <w:rPr>
          <w:rFonts w:hint="eastAsia"/>
          <w:bCs/>
          <w:kern w:val="0"/>
          <w:szCs w:val="21"/>
        </w:rPr>
        <w:t>登记机关执</w:t>
      </w:r>
      <w:r>
        <w:rPr>
          <w:bCs/>
          <w:kern w:val="0"/>
          <w:szCs w:val="21"/>
        </w:rPr>
        <w:t>_____</w:t>
      </w:r>
      <w:r>
        <w:rPr>
          <w:rFonts w:hint="eastAsia"/>
          <w:bCs/>
          <w:kern w:val="0"/>
          <w:szCs w:val="21"/>
        </w:rPr>
        <w:t>份，具有同等法律效力。</w:t>
      </w:r>
    </w:p>
    <w:p w14:paraId="34C6A90A">
      <w:pPr>
        <w:spacing w:line="360" w:lineRule="exact"/>
        <w:rPr>
          <w:kern w:val="0"/>
          <w:szCs w:val="21"/>
        </w:rPr>
      </w:pPr>
    </w:p>
    <w:p w14:paraId="4F38F30C">
      <w:pPr>
        <w:pBdr>
          <w:top w:val="single" w:color="auto" w:sz="6" w:space="1"/>
          <w:bottom w:val="single" w:color="auto" w:sz="6" w:space="1"/>
        </w:pBdr>
        <w:spacing w:line="360" w:lineRule="exact"/>
        <w:jc w:val="left"/>
        <w:textAlignment w:val="center"/>
        <w:rPr>
          <w:rFonts w:eastAsiaTheme="majorEastAsia"/>
          <w:b/>
          <w:snapToGrid w:val="0"/>
          <w:kern w:val="0"/>
          <w:szCs w:val="21"/>
        </w:rPr>
      </w:pPr>
      <w:r>
        <w:rPr>
          <w:rFonts w:eastAsiaTheme="majorEastAsia"/>
          <w:b/>
          <w:snapToGrid w:val="0"/>
          <w:kern w:val="0"/>
          <w:szCs w:val="21"/>
        </w:rPr>
        <w:t>致签约方的温馨提示：</w:t>
      </w:r>
      <w:r>
        <w:rPr>
          <w:rFonts w:hint="eastAsia" w:eastAsiaTheme="majorEastAsia"/>
          <w:b/>
          <w:snapToGrid w:val="0"/>
          <w:kern w:val="0"/>
          <w:szCs w:val="21"/>
        </w:rPr>
        <w:t>如对本合同/协议存在任何疑问或任何相关投诉、意见，请联系客服95511转3、官方网站（http://bank.pingan.com）、发送邮件至callcenter@pingan.com.cn、以及平安银行各营业网点进行咨询或反映。平安银行受理问题后，将在规定时效内核实事项并及时联系提供解决方案。</w:t>
      </w:r>
    </w:p>
    <w:p w14:paraId="150D8EA4">
      <w:pPr>
        <w:spacing w:line="360" w:lineRule="exact"/>
        <w:rPr>
          <w:kern w:val="0"/>
          <w:szCs w:val="21"/>
        </w:rPr>
      </w:pPr>
    </w:p>
    <w:tbl>
      <w:tblPr>
        <w:tblStyle w:val="9"/>
        <w:tblW w:w="4937"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6AF3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5000" w:type="pct"/>
          </w:tcPr>
          <w:p w14:paraId="2D437D72">
            <w:pPr>
              <w:adjustRightInd w:val="0"/>
              <w:spacing w:line="360" w:lineRule="exact"/>
              <w:rPr>
                <w:rFonts w:ascii="Arial" w:hAnsi="Arial" w:cstheme="minorBidi"/>
                <w:b/>
                <w:kern w:val="0"/>
                <w:sz w:val="21"/>
              </w:rPr>
            </w:pPr>
            <w:r>
              <w:rPr>
                <w:rFonts w:hint="eastAsia" w:ascii="Arial" w:hAnsi="Arial" w:cstheme="minorBidi"/>
                <w:b/>
                <w:kern w:val="0"/>
                <w:sz w:val="21"/>
                <w:szCs w:val="32"/>
              </w:rPr>
              <w:t>本合同当事方在此不可撤销地确认和声明其已各自对前述合同文件内容进行了充分阅读、理解并确认同意，且甲方已就前述合同文件中的重要及</w:t>
            </w:r>
            <w:r>
              <w:rPr>
                <w:rFonts w:ascii="Arial" w:hAnsi="Arial" w:cstheme="minorBidi"/>
                <w:b/>
                <w:kern w:val="0"/>
                <w:sz w:val="21"/>
                <w:szCs w:val="32"/>
              </w:rPr>
              <w:t>/</w:t>
            </w:r>
            <w:r>
              <w:rPr>
                <w:rFonts w:hint="eastAsia" w:ascii="Arial" w:hAnsi="Arial" w:cstheme="minorBidi"/>
                <w:b/>
                <w:kern w:val="0"/>
                <w:sz w:val="21"/>
                <w:szCs w:val="32"/>
              </w:rPr>
              <w:t>或加粗提示条款向乙方提供了必要的解释和说明；据此，当事方在此签署如下：</w:t>
            </w:r>
          </w:p>
        </w:tc>
      </w:tr>
    </w:tbl>
    <w:p w14:paraId="6E18C5B9">
      <w:pPr>
        <w:adjustRightInd w:val="0"/>
        <w:spacing w:line="360" w:lineRule="exact"/>
        <w:rPr>
          <w:kern w:val="0"/>
          <w:szCs w:val="22"/>
        </w:rPr>
      </w:pPr>
    </w:p>
    <w:p w14:paraId="6B22C2D9">
      <w:pPr>
        <w:spacing w:line="360" w:lineRule="exact"/>
        <w:rPr>
          <w:rFonts w:hint="default" w:eastAsia="宋体"/>
          <w:kern w:val="0"/>
          <w:szCs w:val="22"/>
          <w:u w:val="single"/>
          <w:lang w:val="en-US" w:eastAsia="zh-CN"/>
        </w:rPr>
      </w:pPr>
      <w:r>
        <w:rPr>
          <w:rFonts w:hint="eastAsia"/>
          <w:b/>
          <w:kern w:val="0"/>
          <w:szCs w:val="22"/>
        </w:rPr>
        <w:t>甲方（盖章）：平安银行股份有限公司</w:t>
      </w:r>
      <w:r>
        <w:rPr>
          <w:rFonts w:hint="eastAsia"/>
          <w:b/>
          <w:kern w:val="0"/>
          <w:szCs w:val="22"/>
          <w:u w:val="single"/>
          <w:lang w:val="en-US" w:eastAsia="zh-CN"/>
        </w:rPr>
        <w:t>{{所在分行}}</w:t>
      </w:r>
    </w:p>
    <w:p w14:paraId="17756049">
      <w:pPr>
        <w:spacing w:line="360" w:lineRule="exact"/>
        <w:rPr>
          <w:kern w:val="0"/>
          <w:szCs w:val="22"/>
        </w:rPr>
      </w:pPr>
      <w:r>
        <w:rPr>
          <w:rFonts w:hint="eastAsia"/>
          <w:kern w:val="0"/>
          <w:szCs w:val="22"/>
        </w:rPr>
        <w:t>法定代表人（负责人）或委托代理人（签署）：</w:t>
      </w:r>
    </w:p>
    <w:p w14:paraId="22221A09">
      <w:pPr>
        <w:spacing w:line="360" w:lineRule="exact"/>
        <w:rPr>
          <w:kern w:val="0"/>
          <w:szCs w:val="22"/>
        </w:rPr>
      </w:pPr>
    </w:p>
    <w:p w14:paraId="3A82B018">
      <w:pPr>
        <w:spacing w:line="360" w:lineRule="exact"/>
        <w:rPr>
          <w:kern w:val="0"/>
          <w:szCs w:val="22"/>
        </w:rPr>
      </w:pPr>
      <w:r>
        <w:rPr>
          <w:kern w:val="0"/>
          <w:szCs w:val="22"/>
        </w:rPr>
        <w:t>_____________________________________________</w:t>
      </w:r>
    </w:p>
    <w:p w14:paraId="07229A27">
      <w:pPr>
        <w:spacing w:line="360" w:lineRule="exact"/>
        <w:rPr>
          <w:kern w:val="0"/>
          <w:szCs w:val="22"/>
        </w:rPr>
      </w:pPr>
      <w:r>
        <w:rPr>
          <w:rFonts w:hint="eastAsia"/>
          <w:kern w:val="0"/>
          <w:szCs w:val="22"/>
        </w:rPr>
        <w:t>签署日：</w:t>
      </w:r>
      <w:r>
        <w:rPr>
          <w:kern w:val="0"/>
          <w:szCs w:val="22"/>
        </w:rPr>
        <w:t xml:space="preserve">  </w:t>
      </w:r>
      <w:r>
        <w:rPr>
          <w:rFonts w:hint="eastAsia"/>
          <w:kern w:val="0"/>
          <w:szCs w:val="22"/>
          <w:lang w:val="en-US" w:eastAsia="zh-CN"/>
        </w:rPr>
        <w:t>{{额度启用日期}}</w:t>
      </w:r>
      <w:r>
        <w:rPr>
          <w:kern w:val="0"/>
          <w:szCs w:val="22"/>
          <w:u w:val="single"/>
        </w:rPr>
        <w:t xml:space="preserve">    </w:t>
      </w:r>
      <w:r>
        <w:rPr>
          <w:rFonts w:hint="eastAsia"/>
          <w:kern w:val="0"/>
          <w:szCs w:val="22"/>
        </w:rPr>
        <w:t>日</w:t>
      </w:r>
    </w:p>
    <w:p w14:paraId="3845C444">
      <w:pPr>
        <w:spacing w:line="360" w:lineRule="exact"/>
        <w:rPr>
          <w:kern w:val="0"/>
          <w:szCs w:val="22"/>
        </w:rPr>
      </w:pPr>
    </w:p>
    <w:p w14:paraId="4BC1F891">
      <w:pPr>
        <w:spacing w:line="360" w:lineRule="exact"/>
        <w:rPr>
          <w:rFonts w:hint="default" w:eastAsia="宋体"/>
          <w:kern w:val="0"/>
          <w:szCs w:val="22"/>
          <w:lang w:val="en-US" w:eastAsia="zh-CN"/>
        </w:rPr>
      </w:pPr>
      <w:r>
        <w:rPr>
          <w:rFonts w:hint="eastAsia"/>
          <w:b/>
          <w:kern w:val="0"/>
          <w:szCs w:val="22"/>
        </w:rPr>
        <w:t>乙方</w:t>
      </w:r>
      <w:r>
        <w:rPr>
          <w:rFonts w:hint="eastAsia"/>
          <w:b/>
          <w:bCs w:val="0"/>
          <w:kern w:val="0"/>
          <w:szCs w:val="22"/>
        </w:rPr>
        <w:t>（盖章）：</w:t>
      </w:r>
      <w:r>
        <w:rPr>
          <w:rFonts w:hint="eastAsia"/>
          <w:b/>
          <w:bCs w:val="0"/>
          <w:kern w:val="0"/>
          <w:szCs w:val="22"/>
          <w:u w:val="single"/>
          <w:lang w:val="en-US" w:eastAsia="zh-CN"/>
        </w:rPr>
        <w:t>{{企业名称</w:t>
      </w:r>
      <w:r>
        <w:rPr>
          <w:rFonts w:hint="eastAsia"/>
          <w:b/>
          <w:bCs/>
          <w:kern w:val="0"/>
          <w:szCs w:val="22"/>
          <w:u w:val="single"/>
          <w:lang w:val="en-US" w:eastAsia="zh-CN"/>
        </w:rPr>
        <w:t>}}</w:t>
      </w:r>
    </w:p>
    <w:p w14:paraId="32910FD2">
      <w:pPr>
        <w:spacing w:line="360" w:lineRule="exact"/>
        <w:rPr>
          <w:kern w:val="0"/>
          <w:szCs w:val="22"/>
        </w:rPr>
      </w:pPr>
      <w:r>
        <w:rPr>
          <w:rFonts w:hint="eastAsia"/>
          <w:kern w:val="0"/>
          <w:szCs w:val="22"/>
        </w:rPr>
        <w:t>法定代表人或委托代理人（签署）：</w:t>
      </w:r>
    </w:p>
    <w:p w14:paraId="2EE73819">
      <w:pPr>
        <w:spacing w:line="360" w:lineRule="exact"/>
        <w:rPr>
          <w:kern w:val="0"/>
          <w:szCs w:val="22"/>
        </w:rPr>
      </w:pPr>
    </w:p>
    <w:p w14:paraId="527468D3">
      <w:pPr>
        <w:spacing w:line="360" w:lineRule="exact"/>
        <w:rPr>
          <w:kern w:val="0"/>
          <w:szCs w:val="22"/>
        </w:rPr>
      </w:pPr>
      <w:r>
        <w:rPr>
          <w:kern w:val="0"/>
          <w:szCs w:val="22"/>
        </w:rPr>
        <w:t>____________________________________________</w:t>
      </w:r>
    </w:p>
    <w:p w14:paraId="5803E89E">
      <w:pPr>
        <w:spacing w:line="360" w:lineRule="exact"/>
        <w:rPr>
          <w:kern w:val="0"/>
          <w:szCs w:val="22"/>
        </w:rPr>
      </w:pPr>
      <w:r>
        <w:rPr>
          <w:rFonts w:hint="eastAsia"/>
          <w:kern w:val="0"/>
          <w:szCs w:val="22"/>
        </w:rPr>
        <w:t>签署日：</w:t>
      </w:r>
      <w:r>
        <w:rPr>
          <w:kern w:val="0"/>
          <w:szCs w:val="22"/>
        </w:rPr>
        <w:t xml:space="preserve">   </w:t>
      </w:r>
      <w:r>
        <w:rPr>
          <w:rFonts w:hint="eastAsia"/>
          <w:kern w:val="0"/>
          <w:szCs w:val="22"/>
          <w:lang w:val="en-US" w:eastAsia="zh-CN"/>
        </w:rPr>
        <w:t>{{额度启用日期}}</w:t>
      </w:r>
      <w:r>
        <w:rPr>
          <w:kern w:val="0"/>
          <w:szCs w:val="22"/>
          <w:u w:val="single"/>
        </w:rPr>
        <w:t xml:space="preserve">    </w:t>
      </w:r>
      <w:r>
        <w:rPr>
          <w:rFonts w:hint="eastAsia"/>
          <w:kern w:val="0"/>
          <w:szCs w:val="22"/>
        </w:rPr>
        <w:t>日</w:t>
      </w:r>
    </w:p>
    <w:sectPr>
      <w:headerReference r:id="rId8" w:type="first"/>
      <w:footerReference r:id="rId9" w:type="first"/>
      <w:pgSz w:w="11906" w:h="16838"/>
      <w:pgMar w:top="1440" w:right="1797" w:bottom="1440" w:left="1797"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altName w:val="Wingdings"/>
    <w:panose1 w:val="05020102010507070707"/>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76E02E3">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2D730FCF">
        <w:pPr>
          <w:pStyle w:val="5"/>
          <w:jc w:val="cente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4F20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A21B">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3080BCF2">
    <w:pPr>
      <w:pStyle w:val="5"/>
      <w:jc w:val="center"/>
      <w:rPr>
        <w:rFonts w:hint="default"/>
        <w:lang w:val="en-US" w:eastAsia="zh-CN"/>
      </w:rP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1</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6A4D8">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79569F0E">
    <w:pPr>
      <w:pStyle w:val="5"/>
      <w:jc w:val="cente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2</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2970F">
    <w:pPr>
      <w:pStyle w:val="6"/>
    </w:pPr>
    <w:r>
      <w:rPr>
        <w:rFonts w:hint="eastAsia"/>
      </w:rPr>
      <w:t>综合授信额度合同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85120">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DB311">
    <w:pPr>
      <w:pStyle w:val="6"/>
    </w:pPr>
    <w:r>
      <w:rPr>
        <w:rFonts w:hint="eastAsia"/>
      </w:rPr>
      <w:t>综合授信额度合同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45243"/>
    <w:multiLevelType w:val="multilevel"/>
    <w:tmpl w:val="03645243"/>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
    <w:nsid w:val="07101433"/>
    <w:multiLevelType w:val="multilevel"/>
    <w:tmpl w:val="07101433"/>
    <w:lvl w:ilvl="0" w:tentative="0">
      <w:start w:val="1"/>
      <w:numFmt w:val="decimal"/>
      <w:lvlText w:val="%1"/>
      <w:lvlJc w:val="left"/>
      <w:pPr>
        <w:ind w:left="531" w:hanging="531"/>
      </w:pPr>
      <w:rPr>
        <w:rFonts w:hint="default"/>
      </w:rPr>
    </w:lvl>
    <w:lvl w:ilvl="1" w:tentative="0">
      <w:start w:val="1"/>
      <w:numFmt w:val="decimal"/>
      <w:lvlText w:val="3.%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11482C2B"/>
    <w:multiLevelType w:val="multilevel"/>
    <w:tmpl w:val="11482C2B"/>
    <w:lvl w:ilvl="0" w:tentative="0">
      <w:start w:val="1"/>
      <w:numFmt w:val="decimal"/>
      <w:lvlText w:val="8.1.%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604F20"/>
    <w:multiLevelType w:val="multilevel"/>
    <w:tmpl w:val="11604F20"/>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4">
    <w:nsid w:val="12AD2895"/>
    <w:multiLevelType w:val="multilevel"/>
    <w:tmpl w:val="12AD2895"/>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17F5447E"/>
    <w:multiLevelType w:val="multilevel"/>
    <w:tmpl w:val="17F5447E"/>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6">
    <w:nsid w:val="22E31096"/>
    <w:multiLevelType w:val="multilevel"/>
    <w:tmpl w:val="22E31096"/>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8">
    <w:nsid w:val="329F3ECC"/>
    <w:multiLevelType w:val="multilevel"/>
    <w:tmpl w:val="329F3ECC"/>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34387FA1"/>
    <w:multiLevelType w:val="multilevel"/>
    <w:tmpl w:val="34387FA1"/>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0">
    <w:nsid w:val="3BC07A1B"/>
    <w:multiLevelType w:val="multilevel"/>
    <w:tmpl w:val="3BC07A1B"/>
    <w:lvl w:ilvl="0" w:tentative="0">
      <w:start w:val="1"/>
      <w:numFmt w:val="decimal"/>
      <w:lvlText w:val="（%1）"/>
      <w:lvlJc w:val="left"/>
      <w:pPr>
        <w:ind w:left="1260" w:hanging="420"/>
      </w:pPr>
      <w:rPr>
        <w:rFonts w:hint="eastAsia"/>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3FF715D2"/>
    <w:multiLevelType w:val="multilevel"/>
    <w:tmpl w:val="3FF715D2"/>
    <w:lvl w:ilvl="0" w:tentative="0">
      <w:start w:val="1"/>
      <w:numFmt w:val="decimal"/>
      <w:lvlText w:val="（%1）"/>
      <w:lvlJc w:val="left"/>
      <w:pPr>
        <w:ind w:left="3479" w:hanging="360"/>
      </w:pPr>
      <w:rPr>
        <w:rFonts w:hint="eastAsia"/>
        <w:b w:val="0"/>
      </w:rPr>
    </w:lvl>
    <w:lvl w:ilvl="1" w:tentative="0">
      <w:start w:val="1"/>
      <w:numFmt w:val="lowerLetter"/>
      <w:lvlText w:val="%2)"/>
      <w:lvlJc w:val="left"/>
      <w:pPr>
        <w:ind w:left="3959" w:hanging="420"/>
      </w:pPr>
    </w:lvl>
    <w:lvl w:ilvl="2" w:tentative="0">
      <w:start w:val="1"/>
      <w:numFmt w:val="lowerRoman"/>
      <w:lvlText w:val="%3."/>
      <w:lvlJc w:val="right"/>
      <w:pPr>
        <w:ind w:left="4379" w:hanging="420"/>
      </w:pPr>
    </w:lvl>
    <w:lvl w:ilvl="3" w:tentative="0">
      <w:start w:val="1"/>
      <w:numFmt w:val="decimal"/>
      <w:lvlText w:val="%4."/>
      <w:lvlJc w:val="left"/>
      <w:pPr>
        <w:ind w:left="4799" w:hanging="420"/>
      </w:pPr>
    </w:lvl>
    <w:lvl w:ilvl="4" w:tentative="0">
      <w:start w:val="1"/>
      <w:numFmt w:val="lowerLetter"/>
      <w:lvlText w:val="%5)"/>
      <w:lvlJc w:val="left"/>
      <w:pPr>
        <w:ind w:left="5219" w:hanging="420"/>
      </w:pPr>
    </w:lvl>
    <w:lvl w:ilvl="5" w:tentative="0">
      <w:start w:val="1"/>
      <w:numFmt w:val="lowerRoman"/>
      <w:lvlText w:val="%6."/>
      <w:lvlJc w:val="right"/>
      <w:pPr>
        <w:ind w:left="5639" w:hanging="420"/>
      </w:pPr>
    </w:lvl>
    <w:lvl w:ilvl="6" w:tentative="0">
      <w:start w:val="1"/>
      <w:numFmt w:val="decimal"/>
      <w:lvlText w:val="%7."/>
      <w:lvlJc w:val="left"/>
      <w:pPr>
        <w:ind w:left="6059" w:hanging="420"/>
      </w:pPr>
    </w:lvl>
    <w:lvl w:ilvl="7" w:tentative="0">
      <w:start w:val="1"/>
      <w:numFmt w:val="lowerLetter"/>
      <w:lvlText w:val="%8)"/>
      <w:lvlJc w:val="left"/>
      <w:pPr>
        <w:ind w:left="6479" w:hanging="420"/>
      </w:pPr>
    </w:lvl>
    <w:lvl w:ilvl="8" w:tentative="0">
      <w:start w:val="1"/>
      <w:numFmt w:val="lowerRoman"/>
      <w:lvlText w:val="%9."/>
      <w:lvlJc w:val="right"/>
      <w:pPr>
        <w:ind w:left="6899" w:hanging="420"/>
      </w:pPr>
    </w:lvl>
  </w:abstractNum>
  <w:abstractNum w:abstractNumId="12">
    <w:nsid w:val="45B57A1C"/>
    <w:multiLevelType w:val="multilevel"/>
    <w:tmpl w:val="45B57A1C"/>
    <w:lvl w:ilvl="0" w:tentative="0">
      <w:start w:val="1"/>
      <w:numFmt w:val="decimal"/>
      <w:lvlText w:val="（%1）"/>
      <w:lvlJc w:val="left"/>
      <w:pPr>
        <w:ind w:left="1260" w:hanging="420"/>
      </w:pPr>
      <w:rPr>
        <w:rFonts w:hint="eastAsia"/>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4C760E21"/>
    <w:multiLevelType w:val="multilevel"/>
    <w:tmpl w:val="4C760E21"/>
    <w:lvl w:ilvl="0" w:tentative="0">
      <w:start w:val="1"/>
      <w:numFmt w:val="decimal"/>
      <w:lvlText w:val="%1"/>
      <w:lvlJc w:val="left"/>
      <w:pPr>
        <w:ind w:left="531" w:hanging="531"/>
      </w:pPr>
      <w:rPr>
        <w:rFonts w:hint="default"/>
      </w:rPr>
    </w:lvl>
    <w:lvl w:ilvl="1" w:tentative="0">
      <w:start w:val="1"/>
      <w:numFmt w:val="decimal"/>
      <w:lvlText w:val="1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52A71F5C"/>
    <w:multiLevelType w:val="multilevel"/>
    <w:tmpl w:val="52A71F5C"/>
    <w:lvl w:ilvl="0" w:tentative="0">
      <w:start w:val="1"/>
      <w:numFmt w:val="decimal"/>
      <w:lvlText w:val="%1"/>
      <w:lvlJc w:val="left"/>
      <w:pPr>
        <w:ind w:left="531" w:hanging="531"/>
      </w:pPr>
      <w:rPr>
        <w:rFonts w:hint="default"/>
      </w:rPr>
    </w:lvl>
    <w:lvl w:ilvl="1" w:tentative="0">
      <w:start w:val="1"/>
      <w:numFmt w:val="decimal"/>
      <w:lvlText w:val="9.%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5FF92453"/>
    <w:multiLevelType w:val="multilevel"/>
    <w:tmpl w:val="5FF92453"/>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63F56FD3"/>
    <w:multiLevelType w:val="multilevel"/>
    <w:tmpl w:val="63F56FD3"/>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696522B2"/>
    <w:multiLevelType w:val="multilevel"/>
    <w:tmpl w:val="696522B2"/>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06B07A4"/>
    <w:multiLevelType w:val="multilevel"/>
    <w:tmpl w:val="706B07A4"/>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9">
    <w:nsid w:val="72062014"/>
    <w:multiLevelType w:val="multilevel"/>
    <w:tmpl w:val="72062014"/>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747C0C22"/>
    <w:multiLevelType w:val="multilevel"/>
    <w:tmpl w:val="747C0C22"/>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17"/>
  </w:num>
  <w:num w:numId="2">
    <w:abstractNumId w:val="7"/>
  </w:num>
  <w:num w:numId="3">
    <w:abstractNumId w:val="11"/>
  </w:num>
  <w:num w:numId="4">
    <w:abstractNumId w:val="18"/>
  </w:num>
  <w:num w:numId="5">
    <w:abstractNumId w:val="0"/>
  </w:num>
  <w:num w:numId="6">
    <w:abstractNumId w:val="1"/>
  </w:num>
  <w:num w:numId="7">
    <w:abstractNumId w:val="15"/>
  </w:num>
  <w:num w:numId="8">
    <w:abstractNumId w:val="8"/>
  </w:num>
  <w:num w:numId="9">
    <w:abstractNumId w:val="9"/>
  </w:num>
  <w:num w:numId="10">
    <w:abstractNumId w:val="19"/>
  </w:num>
  <w:num w:numId="11">
    <w:abstractNumId w:val="20"/>
  </w:num>
  <w:num w:numId="12">
    <w:abstractNumId w:val="16"/>
  </w:num>
  <w:num w:numId="13">
    <w:abstractNumId w:val="12"/>
  </w:num>
  <w:num w:numId="14">
    <w:abstractNumId w:val="10"/>
  </w:num>
  <w:num w:numId="15">
    <w:abstractNumId w:val="4"/>
  </w:num>
  <w:num w:numId="16">
    <w:abstractNumId w:val="2"/>
  </w:num>
  <w:num w:numId="17">
    <w:abstractNumId w:val="6"/>
  </w:num>
  <w:num w:numId="18">
    <w:abstractNumId w:val="14"/>
  </w:num>
  <w:num w:numId="19">
    <w:abstractNumId w:val="13"/>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dit="readOnly" w:formatting="1"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E42"/>
    <w:rsid w:val="000016E7"/>
    <w:rsid w:val="00003AFC"/>
    <w:rsid w:val="00003D23"/>
    <w:rsid w:val="00004E13"/>
    <w:rsid w:val="000068C9"/>
    <w:rsid w:val="00006FAF"/>
    <w:rsid w:val="00007430"/>
    <w:rsid w:val="00010CAC"/>
    <w:rsid w:val="000121AA"/>
    <w:rsid w:val="00012537"/>
    <w:rsid w:val="00014F88"/>
    <w:rsid w:val="0001508D"/>
    <w:rsid w:val="0001584D"/>
    <w:rsid w:val="00015899"/>
    <w:rsid w:val="00017D2A"/>
    <w:rsid w:val="00021088"/>
    <w:rsid w:val="00022AA2"/>
    <w:rsid w:val="00022F25"/>
    <w:rsid w:val="0002317B"/>
    <w:rsid w:val="0002362F"/>
    <w:rsid w:val="0002589A"/>
    <w:rsid w:val="00027BD8"/>
    <w:rsid w:val="00027ED9"/>
    <w:rsid w:val="00030003"/>
    <w:rsid w:val="00030E06"/>
    <w:rsid w:val="00032650"/>
    <w:rsid w:val="00032AB4"/>
    <w:rsid w:val="00033DFA"/>
    <w:rsid w:val="00036084"/>
    <w:rsid w:val="000360CC"/>
    <w:rsid w:val="00036D34"/>
    <w:rsid w:val="0004041A"/>
    <w:rsid w:val="00040553"/>
    <w:rsid w:val="000459CA"/>
    <w:rsid w:val="000513C2"/>
    <w:rsid w:val="000528AA"/>
    <w:rsid w:val="000535AF"/>
    <w:rsid w:val="00054D40"/>
    <w:rsid w:val="0006173B"/>
    <w:rsid w:val="000620B9"/>
    <w:rsid w:val="00063278"/>
    <w:rsid w:val="000635D8"/>
    <w:rsid w:val="00063607"/>
    <w:rsid w:val="00063BB9"/>
    <w:rsid w:val="00063EBE"/>
    <w:rsid w:val="0006422D"/>
    <w:rsid w:val="00064288"/>
    <w:rsid w:val="00064A5B"/>
    <w:rsid w:val="000660F2"/>
    <w:rsid w:val="000668CE"/>
    <w:rsid w:val="00066EF0"/>
    <w:rsid w:val="00067F55"/>
    <w:rsid w:val="000711C2"/>
    <w:rsid w:val="00072F7E"/>
    <w:rsid w:val="00074C73"/>
    <w:rsid w:val="000754C3"/>
    <w:rsid w:val="00076E4E"/>
    <w:rsid w:val="0008183F"/>
    <w:rsid w:val="000822A6"/>
    <w:rsid w:val="000824C6"/>
    <w:rsid w:val="00082F82"/>
    <w:rsid w:val="000830AB"/>
    <w:rsid w:val="00083C06"/>
    <w:rsid w:val="00085142"/>
    <w:rsid w:val="0008649C"/>
    <w:rsid w:val="00086A93"/>
    <w:rsid w:val="00091952"/>
    <w:rsid w:val="00092361"/>
    <w:rsid w:val="00092712"/>
    <w:rsid w:val="000927B6"/>
    <w:rsid w:val="000937F1"/>
    <w:rsid w:val="00096795"/>
    <w:rsid w:val="00097321"/>
    <w:rsid w:val="000A0699"/>
    <w:rsid w:val="000A09CA"/>
    <w:rsid w:val="000A0B0B"/>
    <w:rsid w:val="000A1295"/>
    <w:rsid w:val="000A27A3"/>
    <w:rsid w:val="000A2D84"/>
    <w:rsid w:val="000A2FC0"/>
    <w:rsid w:val="000A3546"/>
    <w:rsid w:val="000A3DA4"/>
    <w:rsid w:val="000B00E5"/>
    <w:rsid w:val="000B0D1B"/>
    <w:rsid w:val="000B13AF"/>
    <w:rsid w:val="000B65D3"/>
    <w:rsid w:val="000C0C38"/>
    <w:rsid w:val="000C1AF2"/>
    <w:rsid w:val="000C2DA7"/>
    <w:rsid w:val="000C3BF3"/>
    <w:rsid w:val="000C6D09"/>
    <w:rsid w:val="000D3C58"/>
    <w:rsid w:val="000D49D9"/>
    <w:rsid w:val="000D4DAF"/>
    <w:rsid w:val="000D56D4"/>
    <w:rsid w:val="000D5B95"/>
    <w:rsid w:val="000D7086"/>
    <w:rsid w:val="000E29B1"/>
    <w:rsid w:val="000E3406"/>
    <w:rsid w:val="000E3B94"/>
    <w:rsid w:val="000E3EDE"/>
    <w:rsid w:val="000E49C7"/>
    <w:rsid w:val="000E65C5"/>
    <w:rsid w:val="000F2039"/>
    <w:rsid w:val="000F2F4F"/>
    <w:rsid w:val="000F5B0F"/>
    <w:rsid w:val="000F7C7F"/>
    <w:rsid w:val="0010361E"/>
    <w:rsid w:val="0010475C"/>
    <w:rsid w:val="00104F89"/>
    <w:rsid w:val="00105DDA"/>
    <w:rsid w:val="00106624"/>
    <w:rsid w:val="00110EC7"/>
    <w:rsid w:val="00112D72"/>
    <w:rsid w:val="001144AE"/>
    <w:rsid w:val="0011646B"/>
    <w:rsid w:val="0012068C"/>
    <w:rsid w:val="0012110A"/>
    <w:rsid w:val="00121D15"/>
    <w:rsid w:val="0012222A"/>
    <w:rsid w:val="001224B5"/>
    <w:rsid w:val="00122B9B"/>
    <w:rsid w:val="00123B03"/>
    <w:rsid w:val="001274E6"/>
    <w:rsid w:val="00132FB0"/>
    <w:rsid w:val="00134CF0"/>
    <w:rsid w:val="00135A5C"/>
    <w:rsid w:val="00136A13"/>
    <w:rsid w:val="001374BE"/>
    <w:rsid w:val="0014289A"/>
    <w:rsid w:val="001438B4"/>
    <w:rsid w:val="00144B1D"/>
    <w:rsid w:val="00145C70"/>
    <w:rsid w:val="0015213D"/>
    <w:rsid w:val="00153581"/>
    <w:rsid w:val="00153C11"/>
    <w:rsid w:val="00153FCD"/>
    <w:rsid w:val="00162DA1"/>
    <w:rsid w:val="0016532F"/>
    <w:rsid w:val="00165B5F"/>
    <w:rsid w:val="00174080"/>
    <w:rsid w:val="00175235"/>
    <w:rsid w:val="001755ED"/>
    <w:rsid w:val="00176C69"/>
    <w:rsid w:val="00176E24"/>
    <w:rsid w:val="001848F9"/>
    <w:rsid w:val="00184CD2"/>
    <w:rsid w:val="001851F0"/>
    <w:rsid w:val="00185687"/>
    <w:rsid w:val="001862AE"/>
    <w:rsid w:val="00186C30"/>
    <w:rsid w:val="001940E7"/>
    <w:rsid w:val="001A2D85"/>
    <w:rsid w:val="001A36DD"/>
    <w:rsid w:val="001B0B2E"/>
    <w:rsid w:val="001B477F"/>
    <w:rsid w:val="001B48F2"/>
    <w:rsid w:val="001B5EE8"/>
    <w:rsid w:val="001B6829"/>
    <w:rsid w:val="001B7E6D"/>
    <w:rsid w:val="001B7FCF"/>
    <w:rsid w:val="001C1B75"/>
    <w:rsid w:val="001C1E73"/>
    <w:rsid w:val="001C290B"/>
    <w:rsid w:val="001C3138"/>
    <w:rsid w:val="001C45F9"/>
    <w:rsid w:val="001C65BF"/>
    <w:rsid w:val="001D1D67"/>
    <w:rsid w:val="001D2C70"/>
    <w:rsid w:val="001D3A86"/>
    <w:rsid w:val="001D584B"/>
    <w:rsid w:val="001E319E"/>
    <w:rsid w:val="001E402B"/>
    <w:rsid w:val="001E44CA"/>
    <w:rsid w:val="001E57A2"/>
    <w:rsid w:val="001E594F"/>
    <w:rsid w:val="001E7ED9"/>
    <w:rsid w:val="001F07CB"/>
    <w:rsid w:val="001F2A96"/>
    <w:rsid w:val="001F46C1"/>
    <w:rsid w:val="001F6CE5"/>
    <w:rsid w:val="00201CA2"/>
    <w:rsid w:val="00204D3F"/>
    <w:rsid w:val="00205777"/>
    <w:rsid w:val="00205E48"/>
    <w:rsid w:val="002105F9"/>
    <w:rsid w:val="00213DB9"/>
    <w:rsid w:val="00216730"/>
    <w:rsid w:val="00222C57"/>
    <w:rsid w:val="00223611"/>
    <w:rsid w:val="002259EC"/>
    <w:rsid w:val="00230F2C"/>
    <w:rsid w:val="00237A1F"/>
    <w:rsid w:val="0024134C"/>
    <w:rsid w:val="002420E7"/>
    <w:rsid w:val="00242871"/>
    <w:rsid w:val="0024781A"/>
    <w:rsid w:val="002522F5"/>
    <w:rsid w:val="002527A6"/>
    <w:rsid w:val="0025484D"/>
    <w:rsid w:val="00256781"/>
    <w:rsid w:val="00257BC7"/>
    <w:rsid w:val="00260DEF"/>
    <w:rsid w:val="002636A0"/>
    <w:rsid w:val="00267069"/>
    <w:rsid w:val="00270349"/>
    <w:rsid w:val="002728CF"/>
    <w:rsid w:val="002733EC"/>
    <w:rsid w:val="00273C77"/>
    <w:rsid w:val="0028153C"/>
    <w:rsid w:val="00281DCF"/>
    <w:rsid w:val="00284D4B"/>
    <w:rsid w:val="00287423"/>
    <w:rsid w:val="0028757C"/>
    <w:rsid w:val="00293231"/>
    <w:rsid w:val="00293E9C"/>
    <w:rsid w:val="00295CE9"/>
    <w:rsid w:val="00297DBD"/>
    <w:rsid w:val="002A0377"/>
    <w:rsid w:val="002A1491"/>
    <w:rsid w:val="002A1AEA"/>
    <w:rsid w:val="002A20A2"/>
    <w:rsid w:val="002A240B"/>
    <w:rsid w:val="002A38E5"/>
    <w:rsid w:val="002A4884"/>
    <w:rsid w:val="002A4FDD"/>
    <w:rsid w:val="002B14B1"/>
    <w:rsid w:val="002B2713"/>
    <w:rsid w:val="002B28AD"/>
    <w:rsid w:val="002B30CE"/>
    <w:rsid w:val="002B6CBC"/>
    <w:rsid w:val="002B74B7"/>
    <w:rsid w:val="002C0057"/>
    <w:rsid w:val="002C4BA9"/>
    <w:rsid w:val="002C689F"/>
    <w:rsid w:val="002C723A"/>
    <w:rsid w:val="002C78DD"/>
    <w:rsid w:val="002D103F"/>
    <w:rsid w:val="002E1EA9"/>
    <w:rsid w:val="002E5187"/>
    <w:rsid w:val="002E5A5A"/>
    <w:rsid w:val="002E631C"/>
    <w:rsid w:val="002E6405"/>
    <w:rsid w:val="002F765A"/>
    <w:rsid w:val="00300058"/>
    <w:rsid w:val="00302628"/>
    <w:rsid w:val="00306C36"/>
    <w:rsid w:val="00310687"/>
    <w:rsid w:val="00312510"/>
    <w:rsid w:val="0031273B"/>
    <w:rsid w:val="00314392"/>
    <w:rsid w:val="00314CCB"/>
    <w:rsid w:val="00315946"/>
    <w:rsid w:val="00315F85"/>
    <w:rsid w:val="0031754B"/>
    <w:rsid w:val="003202D7"/>
    <w:rsid w:val="00320BFE"/>
    <w:rsid w:val="00322030"/>
    <w:rsid w:val="003233F5"/>
    <w:rsid w:val="00324375"/>
    <w:rsid w:val="00327BC5"/>
    <w:rsid w:val="003302B0"/>
    <w:rsid w:val="0033092F"/>
    <w:rsid w:val="0033115B"/>
    <w:rsid w:val="00332704"/>
    <w:rsid w:val="003339F4"/>
    <w:rsid w:val="00333FD7"/>
    <w:rsid w:val="003341B7"/>
    <w:rsid w:val="00335AFD"/>
    <w:rsid w:val="00336FFF"/>
    <w:rsid w:val="00342526"/>
    <w:rsid w:val="00343B93"/>
    <w:rsid w:val="0034460E"/>
    <w:rsid w:val="003454DD"/>
    <w:rsid w:val="003509B9"/>
    <w:rsid w:val="00350AFA"/>
    <w:rsid w:val="003518DB"/>
    <w:rsid w:val="0035253D"/>
    <w:rsid w:val="003547AC"/>
    <w:rsid w:val="00356081"/>
    <w:rsid w:val="003563A8"/>
    <w:rsid w:val="0035756D"/>
    <w:rsid w:val="00361173"/>
    <w:rsid w:val="00361F54"/>
    <w:rsid w:val="003631AF"/>
    <w:rsid w:val="00363456"/>
    <w:rsid w:val="003637FA"/>
    <w:rsid w:val="0036399F"/>
    <w:rsid w:val="00364C17"/>
    <w:rsid w:val="003669F5"/>
    <w:rsid w:val="003672D9"/>
    <w:rsid w:val="00372365"/>
    <w:rsid w:val="00372545"/>
    <w:rsid w:val="0037258A"/>
    <w:rsid w:val="0037331E"/>
    <w:rsid w:val="0037769B"/>
    <w:rsid w:val="00380619"/>
    <w:rsid w:val="003819EA"/>
    <w:rsid w:val="0039145E"/>
    <w:rsid w:val="0039417E"/>
    <w:rsid w:val="00395631"/>
    <w:rsid w:val="0039719F"/>
    <w:rsid w:val="0039790B"/>
    <w:rsid w:val="003A365B"/>
    <w:rsid w:val="003A3852"/>
    <w:rsid w:val="003A4BE7"/>
    <w:rsid w:val="003A4DFA"/>
    <w:rsid w:val="003A67CF"/>
    <w:rsid w:val="003A7814"/>
    <w:rsid w:val="003A7BD9"/>
    <w:rsid w:val="003A7C82"/>
    <w:rsid w:val="003A7F05"/>
    <w:rsid w:val="003B0CAF"/>
    <w:rsid w:val="003B40C6"/>
    <w:rsid w:val="003B4897"/>
    <w:rsid w:val="003B51AE"/>
    <w:rsid w:val="003C10BF"/>
    <w:rsid w:val="003C42BD"/>
    <w:rsid w:val="003C5A3B"/>
    <w:rsid w:val="003C6D7B"/>
    <w:rsid w:val="003C74EA"/>
    <w:rsid w:val="003C7E2A"/>
    <w:rsid w:val="003D10B3"/>
    <w:rsid w:val="003D448B"/>
    <w:rsid w:val="003D60C5"/>
    <w:rsid w:val="003D74AA"/>
    <w:rsid w:val="003E2494"/>
    <w:rsid w:val="003E58DD"/>
    <w:rsid w:val="003E58FF"/>
    <w:rsid w:val="003F1342"/>
    <w:rsid w:val="003F27FB"/>
    <w:rsid w:val="003F642B"/>
    <w:rsid w:val="003F7066"/>
    <w:rsid w:val="00401C0A"/>
    <w:rsid w:val="004035B9"/>
    <w:rsid w:val="00404E63"/>
    <w:rsid w:val="004070CC"/>
    <w:rsid w:val="00407BBE"/>
    <w:rsid w:val="00407C6D"/>
    <w:rsid w:val="0041572C"/>
    <w:rsid w:val="0041651F"/>
    <w:rsid w:val="004204E9"/>
    <w:rsid w:val="00421002"/>
    <w:rsid w:val="00422BCB"/>
    <w:rsid w:val="0042547C"/>
    <w:rsid w:val="004260B0"/>
    <w:rsid w:val="00427BBA"/>
    <w:rsid w:val="00427EDD"/>
    <w:rsid w:val="004301C2"/>
    <w:rsid w:val="00433182"/>
    <w:rsid w:val="00434B3F"/>
    <w:rsid w:val="00440802"/>
    <w:rsid w:val="0044176A"/>
    <w:rsid w:val="0044196C"/>
    <w:rsid w:val="0044251E"/>
    <w:rsid w:val="0044290C"/>
    <w:rsid w:val="00444730"/>
    <w:rsid w:val="00445DB0"/>
    <w:rsid w:val="0045121B"/>
    <w:rsid w:val="00452A0E"/>
    <w:rsid w:val="0045683F"/>
    <w:rsid w:val="004608B7"/>
    <w:rsid w:val="004621D0"/>
    <w:rsid w:val="00462338"/>
    <w:rsid w:val="00462810"/>
    <w:rsid w:val="00462877"/>
    <w:rsid w:val="004644BA"/>
    <w:rsid w:val="004675F1"/>
    <w:rsid w:val="0047008F"/>
    <w:rsid w:val="004700A4"/>
    <w:rsid w:val="004741DF"/>
    <w:rsid w:val="00474BD0"/>
    <w:rsid w:val="0048248A"/>
    <w:rsid w:val="004851E8"/>
    <w:rsid w:val="004864C4"/>
    <w:rsid w:val="004871BD"/>
    <w:rsid w:val="00491721"/>
    <w:rsid w:val="00492032"/>
    <w:rsid w:val="004930BA"/>
    <w:rsid w:val="004950B7"/>
    <w:rsid w:val="00495867"/>
    <w:rsid w:val="00497A51"/>
    <w:rsid w:val="00497AD0"/>
    <w:rsid w:val="004A0C28"/>
    <w:rsid w:val="004A3D35"/>
    <w:rsid w:val="004A5023"/>
    <w:rsid w:val="004A7206"/>
    <w:rsid w:val="004B071B"/>
    <w:rsid w:val="004B0F4D"/>
    <w:rsid w:val="004B3906"/>
    <w:rsid w:val="004B3A1A"/>
    <w:rsid w:val="004B4859"/>
    <w:rsid w:val="004B607F"/>
    <w:rsid w:val="004B63FF"/>
    <w:rsid w:val="004B692B"/>
    <w:rsid w:val="004B728C"/>
    <w:rsid w:val="004B72B9"/>
    <w:rsid w:val="004C1C21"/>
    <w:rsid w:val="004C400C"/>
    <w:rsid w:val="004C47FF"/>
    <w:rsid w:val="004C5123"/>
    <w:rsid w:val="004C6A00"/>
    <w:rsid w:val="004C794A"/>
    <w:rsid w:val="004C7D1B"/>
    <w:rsid w:val="004D13DA"/>
    <w:rsid w:val="004D45F1"/>
    <w:rsid w:val="004D6F0C"/>
    <w:rsid w:val="004D791D"/>
    <w:rsid w:val="004E2545"/>
    <w:rsid w:val="004E30C9"/>
    <w:rsid w:val="004E321C"/>
    <w:rsid w:val="004E6D96"/>
    <w:rsid w:val="004F175C"/>
    <w:rsid w:val="004F3ED2"/>
    <w:rsid w:val="004F4AA4"/>
    <w:rsid w:val="004F4B28"/>
    <w:rsid w:val="004F4E1F"/>
    <w:rsid w:val="00500B9A"/>
    <w:rsid w:val="005014AC"/>
    <w:rsid w:val="00501AF6"/>
    <w:rsid w:val="00502301"/>
    <w:rsid w:val="0050254D"/>
    <w:rsid w:val="0050270C"/>
    <w:rsid w:val="005037AA"/>
    <w:rsid w:val="00505DE5"/>
    <w:rsid w:val="0051617E"/>
    <w:rsid w:val="00517397"/>
    <w:rsid w:val="005176AD"/>
    <w:rsid w:val="00523E63"/>
    <w:rsid w:val="005258C9"/>
    <w:rsid w:val="00526D73"/>
    <w:rsid w:val="0052721D"/>
    <w:rsid w:val="005306C5"/>
    <w:rsid w:val="0053072E"/>
    <w:rsid w:val="00532B29"/>
    <w:rsid w:val="005339C2"/>
    <w:rsid w:val="0053483A"/>
    <w:rsid w:val="00535240"/>
    <w:rsid w:val="00540DCC"/>
    <w:rsid w:val="005411EF"/>
    <w:rsid w:val="00541F5C"/>
    <w:rsid w:val="005425C9"/>
    <w:rsid w:val="00542848"/>
    <w:rsid w:val="00542CB2"/>
    <w:rsid w:val="00543D4F"/>
    <w:rsid w:val="00545079"/>
    <w:rsid w:val="00545158"/>
    <w:rsid w:val="005452A6"/>
    <w:rsid w:val="005459D5"/>
    <w:rsid w:val="00545C78"/>
    <w:rsid w:val="00547015"/>
    <w:rsid w:val="0055234D"/>
    <w:rsid w:val="00552DEB"/>
    <w:rsid w:val="00553A58"/>
    <w:rsid w:val="00553E9F"/>
    <w:rsid w:val="00555250"/>
    <w:rsid w:val="0055717A"/>
    <w:rsid w:val="00557E98"/>
    <w:rsid w:val="0056064A"/>
    <w:rsid w:val="00560ABC"/>
    <w:rsid w:val="00560CEB"/>
    <w:rsid w:val="005610B9"/>
    <w:rsid w:val="0056153A"/>
    <w:rsid w:val="00563DFE"/>
    <w:rsid w:val="00564733"/>
    <w:rsid w:val="005648B7"/>
    <w:rsid w:val="00565D25"/>
    <w:rsid w:val="00571EC7"/>
    <w:rsid w:val="00573189"/>
    <w:rsid w:val="00573AB4"/>
    <w:rsid w:val="00576377"/>
    <w:rsid w:val="005766F0"/>
    <w:rsid w:val="00577E90"/>
    <w:rsid w:val="0058149F"/>
    <w:rsid w:val="00581F85"/>
    <w:rsid w:val="005820C2"/>
    <w:rsid w:val="00582F4E"/>
    <w:rsid w:val="0058481D"/>
    <w:rsid w:val="0058500D"/>
    <w:rsid w:val="00585ACA"/>
    <w:rsid w:val="00586942"/>
    <w:rsid w:val="0059073F"/>
    <w:rsid w:val="005914A4"/>
    <w:rsid w:val="00592100"/>
    <w:rsid w:val="00593572"/>
    <w:rsid w:val="00593778"/>
    <w:rsid w:val="005A0C09"/>
    <w:rsid w:val="005A2B80"/>
    <w:rsid w:val="005A7D9B"/>
    <w:rsid w:val="005B0D7F"/>
    <w:rsid w:val="005B5DE5"/>
    <w:rsid w:val="005B5EAA"/>
    <w:rsid w:val="005B6A03"/>
    <w:rsid w:val="005B73E5"/>
    <w:rsid w:val="005C09F3"/>
    <w:rsid w:val="005C0BAC"/>
    <w:rsid w:val="005C384F"/>
    <w:rsid w:val="005C5489"/>
    <w:rsid w:val="005C7D20"/>
    <w:rsid w:val="005D183F"/>
    <w:rsid w:val="005D2D32"/>
    <w:rsid w:val="005D351C"/>
    <w:rsid w:val="005D55EC"/>
    <w:rsid w:val="005E0820"/>
    <w:rsid w:val="005E26E5"/>
    <w:rsid w:val="005E2A20"/>
    <w:rsid w:val="005E2B7E"/>
    <w:rsid w:val="005E3256"/>
    <w:rsid w:val="005E6E1E"/>
    <w:rsid w:val="005F0627"/>
    <w:rsid w:val="005F080B"/>
    <w:rsid w:val="005F1217"/>
    <w:rsid w:val="005F1352"/>
    <w:rsid w:val="005F1FE3"/>
    <w:rsid w:val="005F26E4"/>
    <w:rsid w:val="005F2A79"/>
    <w:rsid w:val="005F6872"/>
    <w:rsid w:val="00601249"/>
    <w:rsid w:val="00603900"/>
    <w:rsid w:val="00605B79"/>
    <w:rsid w:val="00605FD2"/>
    <w:rsid w:val="006138A0"/>
    <w:rsid w:val="00613E45"/>
    <w:rsid w:val="00617B73"/>
    <w:rsid w:val="00620352"/>
    <w:rsid w:val="00622750"/>
    <w:rsid w:val="00622CDA"/>
    <w:rsid w:val="00623C34"/>
    <w:rsid w:val="00624556"/>
    <w:rsid w:val="00627075"/>
    <w:rsid w:val="00627865"/>
    <w:rsid w:val="00634EA6"/>
    <w:rsid w:val="0063500D"/>
    <w:rsid w:val="0063612A"/>
    <w:rsid w:val="00636DED"/>
    <w:rsid w:val="00637283"/>
    <w:rsid w:val="00637CAE"/>
    <w:rsid w:val="006438F2"/>
    <w:rsid w:val="00644D80"/>
    <w:rsid w:val="00644DDC"/>
    <w:rsid w:val="00645E51"/>
    <w:rsid w:val="006462E9"/>
    <w:rsid w:val="00647F26"/>
    <w:rsid w:val="00650B4B"/>
    <w:rsid w:val="00653E06"/>
    <w:rsid w:val="00656FF4"/>
    <w:rsid w:val="00657660"/>
    <w:rsid w:val="00660EEC"/>
    <w:rsid w:val="00663607"/>
    <w:rsid w:val="006641CC"/>
    <w:rsid w:val="00664427"/>
    <w:rsid w:val="00666318"/>
    <w:rsid w:val="0066655F"/>
    <w:rsid w:val="00671FF8"/>
    <w:rsid w:val="00672301"/>
    <w:rsid w:val="00674F16"/>
    <w:rsid w:val="006766EF"/>
    <w:rsid w:val="006808C9"/>
    <w:rsid w:val="00680BAE"/>
    <w:rsid w:val="00680FC3"/>
    <w:rsid w:val="00683154"/>
    <w:rsid w:val="00683B55"/>
    <w:rsid w:val="00684C58"/>
    <w:rsid w:val="00684E6A"/>
    <w:rsid w:val="00686DF1"/>
    <w:rsid w:val="00690AA5"/>
    <w:rsid w:val="00691A37"/>
    <w:rsid w:val="00691D15"/>
    <w:rsid w:val="00694F78"/>
    <w:rsid w:val="00695B5E"/>
    <w:rsid w:val="00697642"/>
    <w:rsid w:val="00697702"/>
    <w:rsid w:val="006A42BD"/>
    <w:rsid w:val="006A4456"/>
    <w:rsid w:val="006A705C"/>
    <w:rsid w:val="006B0280"/>
    <w:rsid w:val="006B12FC"/>
    <w:rsid w:val="006B18C1"/>
    <w:rsid w:val="006B256C"/>
    <w:rsid w:val="006B2CAD"/>
    <w:rsid w:val="006B31AA"/>
    <w:rsid w:val="006B4181"/>
    <w:rsid w:val="006B4FFD"/>
    <w:rsid w:val="006B7C67"/>
    <w:rsid w:val="006C4323"/>
    <w:rsid w:val="006C4B94"/>
    <w:rsid w:val="006C591B"/>
    <w:rsid w:val="006C6083"/>
    <w:rsid w:val="006D1991"/>
    <w:rsid w:val="006D279A"/>
    <w:rsid w:val="006D2A03"/>
    <w:rsid w:val="006D4F06"/>
    <w:rsid w:val="006D7790"/>
    <w:rsid w:val="006E1B3A"/>
    <w:rsid w:val="006E5183"/>
    <w:rsid w:val="006E7AEC"/>
    <w:rsid w:val="006E7CAA"/>
    <w:rsid w:val="006F02BF"/>
    <w:rsid w:val="006F1136"/>
    <w:rsid w:val="006F18D6"/>
    <w:rsid w:val="006F1B0C"/>
    <w:rsid w:val="006F43B7"/>
    <w:rsid w:val="006F6020"/>
    <w:rsid w:val="007008D6"/>
    <w:rsid w:val="00700FAD"/>
    <w:rsid w:val="00701479"/>
    <w:rsid w:val="0070289C"/>
    <w:rsid w:val="0070302F"/>
    <w:rsid w:val="007040E7"/>
    <w:rsid w:val="00705F3D"/>
    <w:rsid w:val="00712175"/>
    <w:rsid w:val="00712444"/>
    <w:rsid w:val="0071263A"/>
    <w:rsid w:val="00712D43"/>
    <w:rsid w:val="00713FC9"/>
    <w:rsid w:val="0071652E"/>
    <w:rsid w:val="007245C9"/>
    <w:rsid w:val="007247DF"/>
    <w:rsid w:val="007251D7"/>
    <w:rsid w:val="00725A27"/>
    <w:rsid w:val="00726402"/>
    <w:rsid w:val="00726507"/>
    <w:rsid w:val="007265B5"/>
    <w:rsid w:val="00727A04"/>
    <w:rsid w:val="0073137E"/>
    <w:rsid w:val="007314F3"/>
    <w:rsid w:val="007320F5"/>
    <w:rsid w:val="0073688F"/>
    <w:rsid w:val="00740928"/>
    <w:rsid w:val="0074138C"/>
    <w:rsid w:val="007429B2"/>
    <w:rsid w:val="0074342D"/>
    <w:rsid w:val="00743A3A"/>
    <w:rsid w:val="00745715"/>
    <w:rsid w:val="007460B6"/>
    <w:rsid w:val="00746691"/>
    <w:rsid w:val="007505EE"/>
    <w:rsid w:val="007528EC"/>
    <w:rsid w:val="00756F73"/>
    <w:rsid w:val="007601B3"/>
    <w:rsid w:val="00760D17"/>
    <w:rsid w:val="00761F78"/>
    <w:rsid w:val="00764C0A"/>
    <w:rsid w:val="00764F05"/>
    <w:rsid w:val="00765875"/>
    <w:rsid w:val="007670D3"/>
    <w:rsid w:val="007709C5"/>
    <w:rsid w:val="00773110"/>
    <w:rsid w:val="00773A24"/>
    <w:rsid w:val="00773DC1"/>
    <w:rsid w:val="00774EE3"/>
    <w:rsid w:val="007750A0"/>
    <w:rsid w:val="0077594B"/>
    <w:rsid w:val="00776223"/>
    <w:rsid w:val="00776AF6"/>
    <w:rsid w:val="007776F0"/>
    <w:rsid w:val="007823DE"/>
    <w:rsid w:val="00785784"/>
    <w:rsid w:val="00786F80"/>
    <w:rsid w:val="0079221A"/>
    <w:rsid w:val="00793A52"/>
    <w:rsid w:val="007A05B0"/>
    <w:rsid w:val="007A0A60"/>
    <w:rsid w:val="007A10FC"/>
    <w:rsid w:val="007A15E8"/>
    <w:rsid w:val="007A2C57"/>
    <w:rsid w:val="007A4070"/>
    <w:rsid w:val="007A51B7"/>
    <w:rsid w:val="007B00F0"/>
    <w:rsid w:val="007B074D"/>
    <w:rsid w:val="007B2140"/>
    <w:rsid w:val="007B6EEC"/>
    <w:rsid w:val="007B7CAD"/>
    <w:rsid w:val="007C19B4"/>
    <w:rsid w:val="007C3E70"/>
    <w:rsid w:val="007C4030"/>
    <w:rsid w:val="007C759D"/>
    <w:rsid w:val="007C764B"/>
    <w:rsid w:val="007C793C"/>
    <w:rsid w:val="007D189C"/>
    <w:rsid w:val="007D2FB9"/>
    <w:rsid w:val="007D3E25"/>
    <w:rsid w:val="007D42B2"/>
    <w:rsid w:val="007D4931"/>
    <w:rsid w:val="007D5068"/>
    <w:rsid w:val="007E31C1"/>
    <w:rsid w:val="007E5184"/>
    <w:rsid w:val="007F4905"/>
    <w:rsid w:val="007F5346"/>
    <w:rsid w:val="007F5618"/>
    <w:rsid w:val="007F65C4"/>
    <w:rsid w:val="007F6812"/>
    <w:rsid w:val="007F76E0"/>
    <w:rsid w:val="007F784E"/>
    <w:rsid w:val="00806BA3"/>
    <w:rsid w:val="00806D7C"/>
    <w:rsid w:val="00814210"/>
    <w:rsid w:val="008152EB"/>
    <w:rsid w:val="00815D50"/>
    <w:rsid w:val="008204FE"/>
    <w:rsid w:val="00823515"/>
    <w:rsid w:val="0082406A"/>
    <w:rsid w:val="00825659"/>
    <w:rsid w:val="00831D15"/>
    <w:rsid w:val="0083230E"/>
    <w:rsid w:val="0083281B"/>
    <w:rsid w:val="00834FA5"/>
    <w:rsid w:val="00836199"/>
    <w:rsid w:val="00836F2B"/>
    <w:rsid w:val="008379AA"/>
    <w:rsid w:val="00843438"/>
    <w:rsid w:val="00843699"/>
    <w:rsid w:val="00844AC7"/>
    <w:rsid w:val="00851409"/>
    <w:rsid w:val="00852017"/>
    <w:rsid w:val="008521FB"/>
    <w:rsid w:val="008523F7"/>
    <w:rsid w:val="008557F3"/>
    <w:rsid w:val="00855B8F"/>
    <w:rsid w:val="00857D8D"/>
    <w:rsid w:val="00862298"/>
    <w:rsid w:val="00862F54"/>
    <w:rsid w:val="008636E2"/>
    <w:rsid w:val="00863A16"/>
    <w:rsid w:val="00865D71"/>
    <w:rsid w:val="00866987"/>
    <w:rsid w:val="00871DA8"/>
    <w:rsid w:val="0087576B"/>
    <w:rsid w:val="00876767"/>
    <w:rsid w:val="00876DB1"/>
    <w:rsid w:val="0087761C"/>
    <w:rsid w:val="00880E71"/>
    <w:rsid w:val="00882376"/>
    <w:rsid w:val="00883108"/>
    <w:rsid w:val="00883E7B"/>
    <w:rsid w:val="00890D3D"/>
    <w:rsid w:val="0089191A"/>
    <w:rsid w:val="00892D66"/>
    <w:rsid w:val="00894626"/>
    <w:rsid w:val="0089609C"/>
    <w:rsid w:val="008A35C2"/>
    <w:rsid w:val="008A4F97"/>
    <w:rsid w:val="008A65F7"/>
    <w:rsid w:val="008A6FC6"/>
    <w:rsid w:val="008B0099"/>
    <w:rsid w:val="008B057A"/>
    <w:rsid w:val="008B1412"/>
    <w:rsid w:val="008B14DA"/>
    <w:rsid w:val="008B2029"/>
    <w:rsid w:val="008B477B"/>
    <w:rsid w:val="008B5F79"/>
    <w:rsid w:val="008B6CCB"/>
    <w:rsid w:val="008C3EE6"/>
    <w:rsid w:val="008C4A13"/>
    <w:rsid w:val="008C4C3E"/>
    <w:rsid w:val="008C4CBD"/>
    <w:rsid w:val="008C4DD0"/>
    <w:rsid w:val="008C792C"/>
    <w:rsid w:val="008C7B2E"/>
    <w:rsid w:val="008D0636"/>
    <w:rsid w:val="008D1234"/>
    <w:rsid w:val="008D1F0E"/>
    <w:rsid w:val="008D215E"/>
    <w:rsid w:val="008D69C1"/>
    <w:rsid w:val="008E5D49"/>
    <w:rsid w:val="008E688B"/>
    <w:rsid w:val="008F0657"/>
    <w:rsid w:val="008F0CBA"/>
    <w:rsid w:val="008F66BD"/>
    <w:rsid w:val="008F70AF"/>
    <w:rsid w:val="00901CBD"/>
    <w:rsid w:val="0090752A"/>
    <w:rsid w:val="00911DF1"/>
    <w:rsid w:val="00912164"/>
    <w:rsid w:val="00912402"/>
    <w:rsid w:val="00912F0A"/>
    <w:rsid w:val="009161AE"/>
    <w:rsid w:val="00916A03"/>
    <w:rsid w:val="0091783F"/>
    <w:rsid w:val="00920A50"/>
    <w:rsid w:val="00921078"/>
    <w:rsid w:val="00921907"/>
    <w:rsid w:val="00921BFA"/>
    <w:rsid w:val="00922D79"/>
    <w:rsid w:val="00926ECB"/>
    <w:rsid w:val="00931E65"/>
    <w:rsid w:val="00932810"/>
    <w:rsid w:val="00932A2F"/>
    <w:rsid w:val="00933F4C"/>
    <w:rsid w:val="0093662B"/>
    <w:rsid w:val="00941A60"/>
    <w:rsid w:val="00942105"/>
    <w:rsid w:val="0094288D"/>
    <w:rsid w:val="00942FD3"/>
    <w:rsid w:val="00943CF7"/>
    <w:rsid w:val="009440FB"/>
    <w:rsid w:val="00944D4C"/>
    <w:rsid w:val="00945162"/>
    <w:rsid w:val="00945185"/>
    <w:rsid w:val="0094526F"/>
    <w:rsid w:val="00946745"/>
    <w:rsid w:val="00947895"/>
    <w:rsid w:val="009503D4"/>
    <w:rsid w:val="009533C5"/>
    <w:rsid w:val="009577AC"/>
    <w:rsid w:val="00957BEF"/>
    <w:rsid w:val="0096000D"/>
    <w:rsid w:val="00962766"/>
    <w:rsid w:val="009659CA"/>
    <w:rsid w:val="00967501"/>
    <w:rsid w:val="009753DB"/>
    <w:rsid w:val="00976F68"/>
    <w:rsid w:val="00983FC3"/>
    <w:rsid w:val="00984DD6"/>
    <w:rsid w:val="00985E22"/>
    <w:rsid w:val="00987F21"/>
    <w:rsid w:val="00990B19"/>
    <w:rsid w:val="00991819"/>
    <w:rsid w:val="009921C0"/>
    <w:rsid w:val="009932B1"/>
    <w:rsid w:val="00994FE7"/>
    <w:rsid w:val="009972ED"/>
    <w:rsid w:val="009A1647"/>
    <w:rsid w:val="009A20E4"/>
    <w:rsid w:val="009A3438"/>
    <w:rsid w:val="009A35D8"/>
    <w:rsid w:val="009A3EF3"/>
    <w:rsid w:val="009A6AD7"/>
    <w:rsid w:val="009A6D87"/>
    <w:rsid w:val="009B0DFA"/>
    <w:rsid w:val="009B30CF"/>
    <w:rsid w:val="009B4946"/>
    <w:rsid w:val="009B4FEA"/>
    <w:rsid w:val="009C025E"/>
    <w:rsid w:val="009C1170"/>
    <w:rsid w:val="009C2A00"/>
    <w:rsid w:val="009C3994"/>
    <w:rsid w:val="009C5942"/>
    <w:rsid w:val="009C6432"/>
    <w:rsid w:val="009C67D3"/>
    <w:rsid w:val="009C6AEA"/>
    <w:rsid w:val="009C75FC"/>
    <w:rsid w:val="009C76EB"/>
    <w:rsid w:val="009C7745"/>
    <w:rsid w:val="009D2F72"/>
    <w:rsid w:val="009D4957"/>
    <w:rsid w:val="009D4A7B"/>
    <w:rsid w:val="009D65D2"/>
    <w:rsid w:val="009D72F3"/>
    <w:rsid w:val="009E0E40"/>
    <w:rsid w:val="009E3232"/>
    <w:rsid w:val="009E3BB6"/>
    <w:rsid w:val="009E3DBF"/>
    <w:rsid w:val="009E665B"/>
    <w:rsid w:val="009F3D59"/>
    <w:rsid w:val="009F54FE"/>
    <w:rsid w:val="009F5A77"/>
    <w:rsid w:val="009F6733"/>
    <w:rsid w:val="00A0256E"/>
    <w:rsid w:val="00A06D7A"/>
    <w:rsid w:val="00A100D7"/>
    <w:rsid w:val="00A119BB"/>
    <w:rsid w:val="00A134E0"/>
    <w:rsid w:val="00A14616"/>
    <w:rsid w:val="00A152B4"/>
    <w:rsid w:val="00A167D4"/>
    <w:rsid w:val="00A1680A"/>
    <w:rsid w:val="00A21605"/>
    <w:rsid w:val="00A2251E"/>
    <w:rsid w:val="00A2331F"/>
    <w:rsid w:val="00A2392D"/>
    <w:rsid w:val="00A24729"/>
    <w:rsid w:val="00A24AA7"/>
    <w:rsid w:val="00A2583B"/>
    <w:rsid w:val="00A27849"/>
    <w:rsid w:val="00A27B14"/>
    <w:rsid w:val="00A30274"/>
    <w:rsid w:val="00A30341"/>
    <w:rsid w:val="00A30A6F"/>
    <w:rsid w:val="00A379E1"/>
    <w:rsid w:val="00A4051C"/>
    <w:rsid w:val="00A4252C"/>
    <w:rsid w:val="00A44D34"/>
    <w:rsid w:val="00A4578F"/>
    <w:rsid w:val="00A46A66"/>
    <w:rsid w:val="00A474F5"/>
    <w:rsid w:val="00A47715"/>
    <w:rsid w:val="00A47D6E"/>
    <w:rsid w:val="00A50FEC"/>
    <w:rsid w:val="00A51358"/>
    <w:rsid w:val="00A52D9D"/>
    <w:rsid w:val="00A53640"/>
    <w:rsid w:val="00A54A04"/>
    <w:rsid w:val="00A55642"/>
    <w:rsid w:val="00A600AB"/>
    <w:rsid w:val="00A619CC"/>
    <w:rsid w:val="00A65600"/>
    <w:rsid w:val="00A667DA"/>
    <w:rsid w:val="00A6703A"/>
    <w:rsid w:val="00A6785E"/>
    <w:rsid w:val="00A71290"/>
    <w:rsid w:val="00A724C2"/>
    <w:rsid w:val="00A75D96"/>
    <w:rsid w:val="00A76DED"/>
    <w:rsid w:val="00A812A3"/>
    <w:rsid w:val="00A812A5"/>
    <w:rsid w:val="00A813F4"/>
    <w:rsid w:val="00A8192E"/>
    <w:rsid w:val="00A82DD6"/>
    <w:rsid w:val="00A83F6B"/>
    <w:rsid w:val="00A90F29"/>
    <w:rsid w:val="00A912F8"/>
    <w:rsid w:val="00A93F56"/>
    <w:rsid w:val="00A96249"/>
    <w:rsid w:val="00A974C1"/>
    <w:rsid w:val="00A97787"/>
    <w:rsid w:val="00AA06CA"/>
    <w:rsid w:val="00AA4BBD"/>
    <w:rsid w:val="00AA646B"/>
    <w:rsid w:val="00AA6C76"/>
    <w:rsid w:val="00AA7EA8"/>
    <w:rsid w:val="00AB10AD"/>
    <w:rsid w:val="00AB3159"/>
    <w:rsid w:val="00AB3343"/>
    <w:rsid w:val="00AB5902"/>
    <w:rsid w:val="00AB594C"/>
    <w:rsid w:val="00AB677D"/>
    <w:rsid w:val="00AB7A1D"/>
    <w:rsid w:val="00AC0E08"/>
    <w:rsid w:val="00AC1091"/>
    <w:rsid w:val="00AC13FF"/>
    <w:rsid w:val="00AC6D54"/>
    <w:rsid w:val="00AC77BF"/>
    <w:rsid w:val="00AC7920"/>
    <w:rsid w:val="00AD0BF1"/>
    <w:rsid w:val="00AD1A81"/>
    <w:rsid w:val="00AD6EA1"/>
    <w:rsid w:val="00AD7ABA"/>
    <w:rsid w:val="00AE072C"/>
    <w:rsid w:val="00AE0DEA"/>
    <w:rsid w:val="00AE246A"/>
    <w:rsid w:val="00AE2BDD"/>
    <w:rsid w:val="00AE3552"/>
    <w:rsid w:val="00AE3C3D"/>
    <w:rsid w:val="00AE426E"/>
    <w:rsid w:val="00AE4B1B"/>
    <w:rsid w:val="00AE669F"/>
    <w:rsid w:val="00AE6CD4"/>
    <w:rsid w:val="00AF05D8"/>
    <w:rsid w:val="00AF22A9"/>
    <w:rsid w:val="00AF3810"/>
    <w:rsid w:val="00AF3AAA"/>
    <w:rsid w:val="00AF5B29"/>
    <w:rsid w:val="00AF6577"/>
    <w:rsid w:val="00B00BB0"/>
    <w:rsid w:val="00B010E8"/>
    <w:rsid w:val="00B0297A"/>
    <w:rsid w:val="00B036A7"/>
    <w:rsid w:val="00B0381F"/>
    <w:rsid w:val="00B04BA2"/>
    <w:rsid w:val="00B04EF0"/>
    <w:rsid w:val="00B113A6"/>
    <w:rsid w:val="00B11B3C"/>
    <w:rsid w:val="00B13CBB"/>
    <w:rsid w:val="00B16BC3"/>
    <w:rsid w:val="00B16D62"/>
    <w:rsid w:val="00B228E4"/>
    <w:rsid w:val="00B22E0C"/>
    <w:rsid w:val="00B2305F"/>
    <w:rsid w:val="00B23508"/>
    <w:rsid w:val="00B25FDB"/>
    <w:rsid w:val="00B27150"/>
    <w:rsid w:val="00B312F8"/>
    <w:rsid w:val="00B317DA"/>
    <w:rsid w:val="00B32293"/>
    <w:rsid w:val="00B34443"/>
    <w:rsid w:val="00B3467D"/>
    <w:rsid w:val="00B363DB"/>
    <w:rsid w:val="00B41A3E"/>
    <w:rsid w:val="00B46BC8"/>
    <w:rsid w:val="00B47EB6"/>
    <w:rsid w:val="00B50C2C"/>
    <w:rsid w:val="00B51662"/>
    <w:rsid w:val="00B55531"/>
    <w:rsid w:val="00B573D9"/>
    <w:rsid w:val="00B6128B"/>
    <w:rsid w:val="00B62B05"/>
    <w:rsid w:val="00B63677"/>
    <w:rsid w:val="00B6584F"/>
    <w:rsid w:val="00B707C7"/>
    <w:rsid w:val="00B7180C"/>
    <w:rsid w:val="00B71983"/>
    <w:rsid w:val="00B729F8"/>
    <w:rsid w:val="00B743EA"/>
    <w:rsid w:val="00B75A3C"/>
    <w:rsid w:val="00B7734F"/>
    <w:rsid w:val="00B801E8"/>
    <w:rsid w:val="00B81000"/>
    <w:rsid w:val="00B83A9A"/>
    <w:rsid w:val="00B83D97"/>
    <w:rsid w:val="00B8547A"/>
    <w:rsid w:val="00B8564F"/>
    <w:rsid w:val="00B86A74"/>
    <w:rsid w:val="00B87916"/>
    <w:rsid w:val="00B906C2"/>
    <w:rsid w:val="00B94090"/>
    <w:rsid w:val="00B95DB2"/>
    <w:rsid w:val="00B96D8C"/>
    <w:rsid w:val="00B97287"/>
    <w:rsid w:val="00BA2BDC"/>
    <w:rsid w:val="00BA2F3D"/>
    <w:rsid w:val="00BA3A22"/>
    <w:rsid w:val="00BA7C20"/>
    <w:rsid w:val="00BB0EA5"/>
    <w:rsid w:val="00BB7D17"/>
    <w:rsid w:val="00BC1BEA"/>
    <w:rsid w:val="00BC3CC3"/>
    <w:rsid w:val="00BC567B"/>
    <w:rsid w:val="00BC6672"/>
    <w:rsid w:val="00BD0ACE"/>
    <w:rsid w:val="00BD1754"/>
    <w:rsid w:val="00BD1F0B"/>
    <w:rsid w:val="00BD48BE"/>
    <w:rsid w:val="00BD5327"/>
    <w:rsid w:val="00BD65B9"/>
    <w:rsid w:val="00BE04AD"/>
    <w:rsid w:val="00BE1F00"/>
    <w:rsid w:val="00BE24E2"/>
    <w:rsid w:val="00BE4AB9"/>
    <w:rsid w:val="00BE4AF1"/>
    <w:rsid w:val="00BE5FF2"/>
    <w:rsid w:val="00BE6AF6"/>
    <w:rsid w:val="00BE75F6"/>
    <w:rsid w:val="00BF103B"/>
    <w:rsid w:val="00C03155"/>
    <w:rsid w:val="00C03439"/>
    <w:rsid w:val="00C05DC9"/>
    <w:rsid w:val="00C07D3B"/>
    <w:rsid w:val="00C10DD7"/>
    <w:rsid w:val="00C10F60"/>
    <w:rsid w:val="00C12073"/>
    <w:rsid w:val="00C1349D"/>
    <w:rsid w:val="00C147D5"/>
    <w:rsid w:val="00C154DE"/>
    <w:rsid w:val="00C15D17"/>
    <w:rsid w:val="00C17E87"/>
    <w:rsid w:val="00C20E1E"/>
    <w:rsid w:val="00C211E7"/>
    <w:rsid w:val="00C213B9"/>
    <w:rsid w:val="00C214BC"/>
    <w:rsid w:val="00C21EDA"/>
    <w:rsid w:val="00C23EEA"/>
    <w:rsid w:val="00C2527D"/>
    <w:rsid w:val="00C26370"/>
    <w:rsid w:val="00C269FA"/>
    <w:rsid w:val="00C274BF"/>
    <w:rsid w:val="00C306C0"/>
    <w:rsid w:val="00C31D87"/>
    <w:rsid w:val="00C31DE1"/>
    <w:rsid w:val="00C32505"/>
    <w:rsid w:val="00C342C4"/>
    <w:rsid w:val="00C34A91"/>
    <w:rsid w:val="00C34B9B"/>
    <w:rsid w:val="00C350E9"/>
    <w:rsid w:val="00C40F9B"/>
    <w:rsid w:val="00C41DE4"/>
    <w:rsid w:val="00C44265"/>
    <w:rsid w:val="00C469A4"/>
    <w:rsid w:val="00C516E6"/>
    <w:rsid w:val="00C5223C"/>
    <w:rsid w:val="00C53A6F"/>
    <w:rsid w:val="00C54915"/>
    <w:rsid w:val="00C57D46"/>
    <w:rsid w:val="00C57D87"/>
    <w:rsid w:val="00C608A4"/>
    <w:rsid w:val="00C60A22"/>
    <w:rsid w:val="00C620A5"/>
    <w:rsid w:val="00C62A98"/>
    <w:rsid w:val="00C65B4F"/>
    <w:rsid w:val="00C6671B"/>
    <w:rsid w:val="00C66A20"/>
    <w:rsid w:val="00C70474"/>
    <w:rsid w:val="00C71937"/>
    <w:rsid w:val="00C727DF"/>
    <w:rsid w:val="00C76A4B"/>
    <w:rsid w:val="00C76D4E"/>
    <w:rsid w:val="00C826FB"/>
    <w:rsid w:val="00C836D9"/>
    <w:rsid w:val="00C84E62"/>
    <w:rsid w:val="00C8523B"/>
    <w:rsid w:val="00C8574C"/>
    <w:rsid w:val="00C8799E"/>
    <w:rsid w:val="00C92A92"/>
    <w:rsid w:val="00C94575"/>
    <w:rsid w:val="00C96E10"/>
    <w:rsid w:val="00C978A6"/>
    <w:rsid w:val="00C97E9F"/>
    <w:rsid w:val="00CA0B7D"/>
    <w:rsid w:val="00CA45D6"/>
    <w:rsid w:val="00CA6FAC"/>
    <w:rsid w:val="00CA7F2A"/>
    <w:rsid w:val="00CB0609"/>
    <w:rsid w:val="00CB39A1"/>
    <w:rsid w:val="00CB3AA7"/>
    <w:rsid w:val="00CB4B0E"/>
    <w:rsid w:val="00CB52F3"/>
    <w:rsid w:val="00CC29E0"/>
    <w:rsid w:val="00CC4142"/>
    <w:rsid w:val="00CC4719"/>
    <w:rsid w:val="00CC48A9"/>
    <w:rsid w:val="00CC579C"/>
    <w:rsid w:val="00CC78DF"/>
    <w:rsid w:val="00CC7AC2"/>
    <w:rsid w:val="00CD0871"/>
    <w:rsid w:val="00CD0C6F"/>
    <w:rsid w:val="00CD2C4B"/>
    <w:rsid w:val="00CD34C8"/>
    <w:rsid w:val="00CD48F6"/>
    <w:rsid w:val="00CD4D94"/>
    <w:rsid w:val="00CD51B9"/>
    <w:rsid w:val="00CD5907"/>
    <w:rsid w:val="00CD67BE"/>
    <w:rsid w:val="00CD770E"/>
    <w:rsid w:val="00CD7E8C"/>
    <w:rsid w:val="00CE092A"/>
    <w:rsid w:val="00CE0A25"/>
    <w:rsid w:val="00CE2F26"/>
    <w:rsid w:val="00CE3540"/>
    <w:rsid w:val="00CE37FD"/>
    <w:rsid w:val="00CE4C7A"/>
    <w:rsid w:val="00CE64F4"/>
    <w:rsid w:val="00CE68B3"/>
    <w:rsid w:val="00CE7697"/>
    <w:rsid w:val="00CE7E09"/>
    <w:rsid w:val="00CF16FE"/>
    <w:rsid w:val="00CF3B7A"/>
    <w:rsid w:val="00CF3EAF"/>
    <w:rsid w:val="00CF409A"/>
    <w:rsid w:val="00CF440D"/>
    <w:rsid w:val="00CF4F96"/>
    <w:rsid w:val="00CF7AE5"/>
    <w:rsid w:val="00D00902"/>
    <w:rsid w:val="00D01630"/>
    <w:rsid w:val="00D02CED"/>
    <w:rsid w:val="00D03521"/>
    <w:rsid w:val="00D03CB8"/>
    <w:rsid w:val="00D0602E"/>
    <w:rsid w:val="00D070DC"/>
    <w:rsid w:val="00D12C47"/>
    <w:rsid w:val="00D14ADB"/>
    <w:rsid w:val="00D15614"/>
    <w:rsid w:val="00D159CC"/>
    <w:rsid w:val="00D15C6B"/>
    <w:rsid w:val="00D16C1A"/>
    <w:rsid w:val="00D224C5"/>
    <w:rsid w:val="00D225FD"/>
    <w:rsid w:val="00D24324"/>
    <w:rsid w:val="00D25284"/>
    <w:rsid w:val="00D3075E"/>
    <w:rsid w:val="00D323DC"/>
    <w:rsid w:val="00D35B77"/>
    <w:rsid w:val="00D35FD1"/>
    <w:rsid w:val="00D37CF8"/>
    <w:rsid w:val="00D42BBB"/>
    <w:rsid w:val="00D439F1"/>
    <w:rsid w:val="00D43AB9"/>
    <w:rsid w:val="00D43F4E"/>
    <w:rsid w:val="00D44A79"/>
    <w:rsid w:val="00D45D67"/>
    <w:rsid w:val="00D46A46"/>
    <w:rsid w:val="00D47E95"/>
    <w:rsid w:val="00D50789"/>
    <w:rsid w:val="00D527C8"/>
    <w:rsid w:val="00D5652E"/>
    <w:rsid w:val="00D5784B"/>
    <w:rsid w:val="00D601EC"/>
    <w:rsid w:val="00D63829"/>
    <w:rsid w:val="00D65DD7"/>
    <w:rsid w:val="00D6740C"/>
    <w:rsid w:val="00D71C87"/>
    <w:rsid w:val="00D723A7"/>
    <w:rsid w:val="00D73EBC"/>
    <w:rsid w:val="00D74345"/>
    <w:rsid w:val="00D7450C"/>
    <w:rsid w:val="00D756CE"/>
    <w:rsid w:val="00D76271"/>
    <w:rsid w:val="00D77433"/>
    <w:rsid w:val="00D800CD"/>
    <w:rsid w:val="00D80B5A"/>
    <w:rsid w:val="00D83FB8"/>
    <w:rsid w:val="00D84B2D"/>
    <w:rsid w:val="00D84DBD"/>
    <w:rsid w:val="00D92422"/>
    <w:rsid w:val="00D930BA"/>
    <w:rsid w:val="00D9412E"/>
    <w:rsid w:val="00D9459C"/>
    <w:rsid w:val="00D94CAB"/>
    <w:rsid w:val="00D94F10"/>
    <w:rsid w:val="00D9644B"/>
    <w:rsid w:val="00DA0699"/>
    <w:rsid w:val="00DA2802"/>
    <w:rsid w:val="00DA4E19"/>
    <w:rsid w:val="00DA6F05"/>
    <w:rsid w:val="00DB2BBA"/>
    <w:rsid w:val="00DB44C5"/>
    <w:rsid w:val="00DB6B1D"/>
    <w:rsid w:val="00DC31D9"/>
    <w:rsid w:val="00DC3555"/>
    <w:rsid w:val="00DC4D92"/>
    <w:rsid w:val="00DC6FFA"/>
    <w:rsid w:val="00DC7C17"/>
    <w:rsid w:val="00DD0425"/>
    <w:rsid w:val="00DD26A8"/>
    <w:rsid w:val="00DD2E3E"/>
    <w:rsid w:val="00DD3CE8"/>
    <w:rsid w:val="00DD4ADE"/>
    <w:rsid w:val="00DD7BB0"/>
    <w:rsid w:val="00DE1126"/>
    <w:rsid w:val="00DE532F"/>
    <w:rsid w:val="00DE5DDA"/>
    <w:rsid w:val="00DE65E6"/>
    <w:rsid w:val="00DF11D2"/>
    <w:rsid w:val="00DF12CE"/>
    <w:rsid w:val="00DF2D38"/>
    <w:rsid w:val="00DF4AE1"/>
    <w:rsid w:val="00DF6700"/>
    <w:rsid w:val="00DF7EE1"/>
    <w:rsid w:val="00E0193F"/>
    <w:rsid w:val="00E01D6D"/>
    <w:rsid w:val="00E0233A"/>
    <w:rsid w:val="00E060D0"/>
    <w:rsid w:val="00E10005"/>
    <w:rsid w:val="00E12EC8"/>
    <w:rsid w:val="00E13475"/>
    <w:rsid w:val="00E134B1"/>
    <w:rsid w:val="00E159A0"/>
    <w:rsid w:val="00E226F4"/>
    <w:rsid w:val="00E25626"/>
    <w:rsid w:val="00E26B8B"/>
    <w:rsid w:val="00E2775B"/>
    <w:rsid w:val="00E277BC"/>
    <w:rsid w:val="00E2785B"/>
    <w:rsid w:val="00E27BC9"/>
    <w:rsid w:val="00E27C34"/>
    <w:rsid w:val="00E40CC1"/>
    <w:rsid w:val="00E42190"/>
    <w:rsid w:val="00E45EC5"/>
    <w:rsid w:val="00E47897"/>
    <w:rsid w:val="00E52EE6"/>
    <w:rsid w:val="00E61264"/>
    <w:rsid w:val="00E61DFE"/>
    <w:rsid w:val="00E631C8"/>
    <w:rsid w:val="00E6348F"/>
    <w:rsid w:val="00E63D2A"/>
    <w:rsid w:val="00E64CB6"/>
    <w:rsid w:val="00E66E31"/>
    <w:rsid w:val="00E67ACA"/>
    <w:rsid w:val="00E67C29"/>
    <w:rsid w:val="00E67F7B"/>
    <w:rsid w:val="00E70F24"/>
    <w:rsid w:val="00E7125F"/>
    <w:rsid w:val="00E728B2"/>
    <w:rsid w:val="00E74099"/>
    <w:rsid w:val="00E74D7A"/>
    <w:rsid w:val="00E76C98"/>
    <w:rsid w:val="00E80FA1"/>
    <w:rsid w:val="00E8772C"/>
    <w:rsid w:val="00E915CF"/>
    <w:rsid w:val="00E937CF"/>
    <w:rsid w:val="00E93B31"/>
    <w:rsid w:val="00E95CF4"/>
    <w:rsid w:val="00E97021"/>
    <w:rsid w:val="00EA2163"/>
    <w:rsid w:val="00EA229A"/>
    <w:rsid w:val="00EA5494"/>
    <w:rsid w:val="00EB0AAB"/>
    <w:rsid w:val="00EB16CD"/>
    <w:rsid w:val="00EB24F4"/>
    <w:rsid w:val="00EB2C35"/>
    <w:rsid w:val="00EB33F4"/>
    <w:rsid w:val="00EB4E4B"/>
    <w:rsid w:val="00EB5CB8"/>
    <w:rsid w:val="00EB756D"/>
    <w:rsid w:val="00EC045F"/>
    <w:rsid w:val="00EC0D68"/>
    <w:rsid w:val="00EC7F6D"/>
    <w:rsid w:val="00ED0C42"/>
    <w:rsid w:val="00ED1D71"/>
    <w:rsid w:val="00ED27E5"/>
    <w:rsid w:val="00ED3110"/>
    <w:rsid w:val="00ED6C02"/>
    <w:rsid w:val="00ED7C4F"/>
    <w:rsid w:val="00EE18F7"/>
    <w:rsid w:val="00EE6E99"/>
    <w:rsid w:val="00EF02E6"/>
    <w:rsid w:val="00EF1955"/>
    <w:rsid w:val="00EF2B09"/>
    <w:rsid w:val="00EF2C37"/>
    <w:rsid w:val="00EF2F89"/>
    <w:rsid w:val="00EF3DD1"/>
    <w:rsid w:val="00EF4A42"/>
    <w:rsid w:val="00EF5167"/>
    <w:rsid w:val="00EF5B23"/>
    <w:rsid w:val="00F00908"/>
    <w:rsid w:val="00F01A88"/>
    <w:rsid w:val="00F02B00"/>
    <w:rsid w:val="00F03D81"/>
    <w:rsid w:val="00F06CEB"/>
    <w:rsid w:val="00F12055"/>
    <w:rsid w:val="00F13E77"/>
    <w:rsid w:val="00F1401E"/>
    <w:rsid w:val="00F1559D"/>
    <w:rsid w:val="00F155B5"/>
    <w:rsid w:val="00F20864"/>
    <w:rsid w:val="00F24265"/>
    <w:rsid w:val="00F24321"/>
    <w:rsid w:val="00F30E18"/>
    <w:rsid w:val="00F316A1"/>
    <w:rsid w:val="00F33A62"/>
    <w:rsid w:val="00F347BC"/>
    <w:rsid w:val="00F34D74"/>
    <w:rsid w:val="00F37DD0"/>
    <w:rsid w:val="00F43058"/>
    <w:rsid w:val="00F4657E"/>
    <w:rsid w:val="00F47875"/>
    <w:rsid w:val="00F47C6D"/>
    <w:rsid w:val="00F53AE2"/>
    <w:rsid w:val="00F55FB7"/>
    <w:rsid w:val="00F56FF9"/>
    <w:rsid w:val="00F57400"/>
    <w:rsid w:val="00F60713"/>
    <w:rsid w:val="00F62AC4"/>
    <w:rsid w:val="00F637F5"/>
    <w:rsid w:val="00F642E5"/>
    <w:rsid w:val="00F64A1B"/>
    <w:rsid w:val="00F64EBA"/>
    <w:rsid w:val="00F65294"/>
    <w:rsid w:val="00F667E0"/>
    <w:rsid w:val="00F67309"/>
    <w:rsid w:val="00F67747"/>
    <w:rsid w:val="00F67C8F"/>
    <w:rsid w:val="00F72015"/>
    <w:rsid w:val="00F72C7B"/>
    <w:rsid w:val="00F7318C"/>
    <w:rsid w:val="00F733A7"/>
    <w:rsid w:val="00F74893"/>
    <w:rsid w:val="00F761D6"/>
    <w:rsid w:val="00F76C12"/>
    <w:rsid w:val="00F80C6C"/>
    <w:rsid w:val="00F82697"/>
    <w:rsid w:val="00F838D5"/>
    <w:rsid w:val="00F84485"/>
    <w:rsid w:val="00F8527D"/>
    <w:rsid w:val="00F85522"/>
    <w:rsid w:val="00F87288"/>
    <w:rsid w:val="00F90C43"/>
    <w:rsid w:val="00F94935"/>
    <w:rsid w:val="00F97B7C"/>
    <w:rsid w:val="00FA3E28"/>
    <w:rsid w:val="00FA7C92"/>
    <w:rsid w:val="00FA7EC5"/>
    <w:rsid w:val="00FB1010"/>
    <w:rsid w:val="00FB2AC1"/>
    <w:rsid w:val="00FC0560"/>
    <w:rsid w:val="00FC10BE"/>
    <w:rsid w:val="00FC1619"/>
    <w:rsid w:val="00FD074D"/>
    <w:rsid w:val="00FD1BA8"/>
    <w:rsid w:val="00FD2ACB"/>
    <w:rsid w:val="00FD3AEE"/>
    <w:rsid w:val="00FD46BD"/>
    <w:rsid w:val="00FD48EE"/>
    <w:rsid w:val="00FD5860"/>
    <w:rsid w:val="00FD6579"/>
    <w:rsid w:val="00FD70AE"/>
    <w:rsid w:val="00FD7564"/>
    <w:rsid w:val="00FD7ED3"/>
    <w:rsid w:val="00FE07FE"/>
    <w:rsid w:val="00FE0F64"/>
    <w:rsid w:val="00FE7B8A"/>
    <w:rsid w:val="00FF5708"/>
    <w:rsid w:val="00FF5E54"/>
    <w:rsid w:val="00FF7EAD"/>
    <w:rsid w:val="013179E4"/>
    <w:rsid w:val="017F5000"/>
    <w:rsid w:val="01B92DC0"/>
    <w:rsid w:val="02623074"/>
    <w:rsid w:val="02EC2FD9"/>
    <w:rsid w:val="03D746CC"/>
    <w:rsid w:val="047C0E94"/>
    <w:rsid w:val="063806BC"/>
    <w:rsid w:val="07765628"/>
    <w:rsid w:val="084B6928"/>
    <w:rsid w:val="09280895"/>
    <w:rsid w:val="093635B2"/>
    <w:rsid w:val="0A0D0E47"/>
    <w:rsid w:val="0A4A63EE"/>
    <w:rsid w:val="0AD9035D"/>
    <w:rsid w:val="0AFA0790"/>
    <w:rsid w:val="0BFB4D67"/>
    <w:rsid w:val="0C403025"/>
    <w:rsid w:val="0CA465CD"/>
    <w:rsid w:val="0D7FFC98"/>
    <w:rsid w:val="0DBC3817"/>
    <w:rsid w:val="0E3E5A73"/>
    <w:rsid w:val="0FF147E5"/>
    <w:rsid w:val="10AD7F19"/>
    <w:rsid w:val="10D12E24"/>
    <w:rsid w:val="10F06C67"/>
    <w:rsid w:val="1167461D"/>
    <w:rsid w:val="116E61A6"/>
    <w:rsid w:val="119C142F"/>
    <w:rsid w:val="12BB3F9B"/>
    <w:rsid w:val="12F368C9"/>
    <w:rsid w:val="1348457D"/>
    <w:rsid w:val="138A301D"/>
    <w:rsid w:val="13DF0529"/>
    <w:rsid w:val="144E062A"/>
    <w:rsid w:val="14640782"/>
    <w:rsid w:val="14DE264A"/>
    <w:rsid w:val="1524753B"/>
    <w:rsid w:val="16244EE0"/>
    <w:rsid w:val="16846395"/>
    <w:rsid w:val="18A43C7A"/>
    <w:rsid w:val="18C809B6"/>
    <w:rsid w:val="196178B0"/>
    <w:rsid w:val="1A0D0A53"/>
    <w:rsid w:val="1A205573"/>
    <w:rsid w:val="1A46487B"/>
    <w:rsid w:val="1C3E47E5"/>
    <w:rsid w:val="1CAB35DF"/>
    <w:rsid w:val="1D060504"/>
    <w:rsid w:val="1E1430E7"/>
    <w:rsid w:val="1ED874FA"/>
    <w:rsid w:val="1EE24876"/>
    <w:rsid w:val="1F766E0E"/>
    <w:rsid w:val="1F8D0A47"/>
    <w:rsid w:val="1FD95079"/>
    <w:rsid w:val="20340B62"/>
    <w:rsid w:val="2232642A"/>
    <w:rsid w:val="23B572A5"/>
    <w:rsid w:val="24F42171"/>
    <w:rsid w:val="25EF38BF"/>
    <w:rsid w:val="26962DDB"/>
    <w:rsid w:val="27953300"/>
    <w:rsid w:val="2880165B"/>
    <w:rsid w:val="28A83AC0"/>
    <w:rsid w:val="293C7BB7"/>
    <w:rsid w:val="2B1211AC"/>
    <w:rsid w:val="2BB1742D"/>
    <w:rsid w:val="2C773801"/>
    <w:rsid w:val="2D3E2F42"/>
    <w:rsid w:val="2D510F65"/>
    <w:rsid w:val="2DBE6545"/>
    <w:rsid w:val="2DC04A9C"/>
    <w:rsid w:val="2E7B54BB"/>
    <w:rsid w:val="2EFA1AA7"/>
    <w:rsid w:val="2F525731"/>
    <w:rsid w:val="30062758"/>
    <w:rsid w:val="308D5EB4"/>
    <w:rsid w:val="30ED056E"/>
    <w:rsid w:val="31136240"/>
    <w:rsid w:val="31846F42"/>
    <w:rsid w:val="31A87906"/>
    <w:rsid w:val="322B5FE8"/>
    <w:rsid w:val="334E5EA9"/>
    <w:rsid w:val="33712774"/>
    <w:rsid w:val="338B0EAB"/>
    <w:rsid w:val="33C769C2"/>
    <w:rsid w:val="33D65238"/>
    <w:rsid w:val="342D5BF6"/>
    <w:rsid w:val="36200D59"/>
    <w:rsid w:val="370005F8"/>
    <w:rsid w:val="38134A0C"/>
    <w:rsid w:val="39AD25AF"/>
    <w:rsid w:val="3A0317C0"/>
    <w:rsid w:val="3A5E69D2"/>
    <w:rsid w:val="3A9A3131"/>
    <w:rsid w:val="3B779286"/>
    <w:rsid w:val="3C8974B7"/>
    <w:rsid w:val="3C995A51"/>
    <w:rsid w:val="3D390AF3"/>
    <w:rsid w:val="3D440A3A"/>
    <w:rsid w:val="3D635B43"/>
    <w:rsid w:val="3D6B2F4F"/>
    <w:rsid w:val="3D965098"/>
    <w:rsid w:val="3DF53F8F"/>
    <w:rsid w:val="3E0221C9"/>
    <w:rsid w:val="3E2E0D5B"/>
    <w:rsid w:val="3E692E72"/>
    <w:rsid w:val="3EE86FC3"/>
    <w:rsid w:val="3F7520AA"/>
    <w:rsid w:val="3F9D1C5A"/>
    <w:rsid w:val="412B5EF9"/>
    <w:rsid w:val="415736BE"/>
    <w:rsid w:val="41B21655"/>
    <w:rsid w:val="41DB2819"/>
    <w:rsid w:val="43625B18"/>
    <w:rsid w:val="44E05090"/>
    <w:rsid w:val="44EA599F"/>
    <w:rsid w:val="45B21B65"/>
    <w:rsid w:val="45DE30BD"/>
    <w:rsid w:val="489354A0"/>
    <w:rsid w:val="49256F8E"/>
    <w:rsid w:val="49C37D91"/>
    <w:rsid w:val="49FE7552"/>
    <w:rsid w:val="4A057900"/>
    <w:rsid w:val="4A6B72A5"/>
    <w:rsid w:val="4B1D3643"/>
    <w:rsid w:val="4D6D0D89"/>
    <w:rsid w:val="4D7A022C"/>
    <w:rsid w:val="4DD96B98"/>
    <w:rsid w:val="4FBF2587"/>
    <w:rsid w:val="508B5231"/>
    <w:rsid w:val="50D37471"/>
    <w:rsid w:val="51FA43FA"/>
    <w:rsid w:val="53D4333A"/>
    <w:rsid w:val="54033D14"/>
    <w:rsid w:val="552E07CD"/>
    <w:rsid w:val="56571534"/>
    <w:rsid w:val="57FB2F70"/>
    <w:rsid w:val="584D616C"/>
    <w:rsid w:val="58C602A9"/>
    <w:rsid w:val="5985098C"/>
    <w:rsid w:val="59F93C29"/>
    <w:rsid w:val="5B9F7735"/>
    <w:rsid w:val="5BA0525E"/>
    <w:rsid w:val="5BE6B99D"/>
    <w:rsid w:val="5BF915B2"/>
    <w:rsid w:val="5C1C4E26"/>
    <w:rsid w:val="5C2E04A2"/>
    <w:rsid w:val="5D276F23"/>
    <w:rsid w:val="5E1B7B71"/>
    <w:rsid w:val="5E2A6A47"/>
    <w:rsid w:val="5E7340CA"/>
    <w:rsid w:val="5EAA2EDE"/>
    <w:rsid w:val="5EDF8085"/>
    <w:rsid w:val="5FCB425A"/>
    <w:rsid w:val="607B25F4"/>
    <w:rsid w:val="609008FA"/>
    <w:rsid w:val="61826F89"/>
    <w:rsid w:val="61C22A6E"/>
    <w:rsid w:val="646002BB"/>
    <w:rsid w:val="66533F6E"/>
    <w:rsid w:val="673B426B"/>
    <w:rsid w:val="69ED3DE4"/>
    <w:rsid w:val="69FD552B"/>
    <w:rsid w:val="6A250150"/>
    <w:rsid w:val="6AC22533"/>
    <w:rsid w:val="6C1448BC"/>
    <w:rsid w:val="6FEB9833"/>
    <w:rsid w:val="6FFEE79A"/>
    <w:rsid w:val="700A07DC"/>
    <w:rsid w:val="70410004"/>
    <w:rsid w:val="70742409"/>
    <w:rsid w:val="72301E5B"/>
    <w:rsid w:val="72D231ED"/>
    <w:rsid w:val="72E83193"/>
    <w:rsid w:val="73885232"/>
    <w:rsid w:val="73A02941"/>
    <w:rsid w:val="76C2267E"/>
    <w:rsid w:val="773B78A9"/>
    <w:rsid w:val="77E02B9B"/>
    <w:rsid w:val="785911E4"/>
    <w:rsid w:val="78B75325"/>
    <w:rsid w:val="79003D12"/>
    <w:rsid w:val="79572861"/>
    <w:rsid w:val="7997550A"/>
    <w:rsid w:val="7A0422BB"/>
    <w:rsid w:val="7ABB3FE8"/>
    <w:rsid w:val="7C6E5C38"/>
    <w:rsid w:val="7D8212F8"/>
    <w:rsid w:val="7DDB5DCF"/>
    <w:rsid w:val="7E5958EF"/>
    <w:rsid w:val="7F5646F6"/>
    <w:rsid w:val="7F9F07F3"/>
    <w:rsid w:val="7FABF968"/>
    <w:rsid w:val="7FFFD35D"/>
    <w:rsid w:val="9FFA0E72"/>
    <w:rsid w:val="BBDCA570"/>
    <w:rsid w:val="BF7F5A76"/>
    <w:rsid w:val="BFF741E8"/>
    <w:rsid w:val="DDA77614"/>
    <w:rsid w:val="EEC7FF3D"/>
    <w:rsid w:val="F37AD613"/>
    <w:rsid w:val="F6FE4247"/>
    <w:rsid w:val="FBFB07C9"/>
    <w:rsid w:val="FEFB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unhideWhenUsed/>
    <w:qFormat/>
    <w:uiPriority w:val="99"/>
    <w:pPr>
      <w:jc w:val="left"/>
    </w:pPr>
  </w:style>
  <w:style w:type="paragraph" w:styleId="4">
    <w:name w:val="Balloon Text"/>
    <w:basedOn w:val="1"/>
    <w:link w:val="13"/>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semiHidden/>
    <w:unhideWhenUsed/>
    <w:qFormat/>
    <w:uiPriority w:val="99"/>
    <w:rPr>
      <w:b/>
      <w:bCs/>
    </w:rPr>
  </w:style>
  <w:style w:type="table" w:styleId="9">
    <w:name w:val="Table Grid"/>
    <w:basedOn w:val="8"/>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0"/>
    <w:rPr>
      <w:sz w:val="21"/>
      <w:szCs w:val="21"/>
    </w:rPr>
  </w:style>
  <w:style w:type="character" w:customStyle="1" w:styleId="13">
    <w:name w:val="批注框文本 字符"/>
    <w:basedOn w:val="10"/>
    <w:link w:val="4"/>
    <w:semiHidden/>
    <w:qFormat/>
    <w:uiPriority w:val="99"/>
    <w:rPr>
      <w:rFonts w:ascii="Times New Roman" w:hAnsi="Times New Roman" w:eastAsia="宋体" w:cs="Times New Roman"/>
      <w:sz w:val="18"/>
      <w:szCs w:val="18"/>
    </w:rPr>
  </w:style>
  <w:style w:type="character" w:customStyle="1" w:styleId="14">
    <w:name w:val="批注文字 字符"/>
    <w:basedOn w:val="10"/>
    <w:link w:val="3"/>
    <w:qFormat/>
    <w:uiPriority w:val="99"/>
    <w:rPr>
      <w:rFonts w:ascii="Times New Roman" w:hAnsi="Times New Roman" w:eastAsia="宋体" w:cs="Times New Roman"/>
      <w:szCs w:val="24"/>
    </w:rPr>
  </w:style>
  <w:style w:type="character" w:customStyle="1" w:styleId="15">
    <w:name w:val="批注主题 字符"/>
    <w:basedOn w:val="14"/>
    <w:link w:val="7"/>
    <w:semiHidden/>
    <w:qFormat/>
    <w:uiPriority w:val="99"/>
    <w:rPr>
      <w:rFonts w:ascii="Times New Roman" w:hAnsi="Times New Roman" w:eastAsia="宋体" w:cs="Times New Roman"/>
      <w:b/>
      <w:bCs/>
      <w:szCs w:val="24"/>
    </w:rPr>
  </w:style>
  <w:style w:type="paragraph" w:styleId="16">
    <w:name w:val="List Paragraph"/>
    <w:basedOn w:val="1"/>
    <w:qFormat/>
    <w:uiPriority w:val="34"/>
    <w:pPr>
      <w:ind w:firstLine="420" w:firstLineChars="200"/>
    </w:pPr>
  </w:style>
  <w:style w:type="character" w:customStyle="1" w:styleId="17">
    <w:name w:val="页眉 字符"/>
    <w:basedOn w:val="10"/>
    <w:link w:val="6"/>
    <w:qFormat/>
    <w:uiPriority w:val="99"/>
    <w:rPr>
      <w:rFonts w:ascii="Times New Roman" w:hAnsi="Times New Roman" w:eastAsia="宋体" w:cs="Times New Roman"/>
      <w:sz w:val="18"/>
      <w:szCs w:val="18"/>
    </w:rPr>
  </w:style>
  <w:style w:type="character" w:customStyle="1" w:styleId="18">
    <w:name w:val="页脚 字符"/>
    <w:basedOn w:val="10"/>
    <w:link w:val="5"/>
    <w:qFormat/>
    <w:uiPriority w:val="99"/>
    <w:rPr>
      <w:rFonts w:ascii="Times New Roman" w:hAnsi="Times New Roman" w:eastAsia="宋体" w:cs="Times New Roman"/>
      <w:sz w:val="18"/>
      <w:szCs w:val="18"/>
    </w:rPr>
  </w:style>
  <w:style w:type="paragraph" w:customStyle="1" w:styleId="19">
    <w:name w:val="Char Char Char Char"/>
    <w:basedOn w:val="1"/>
    <w:qFormat/>
    <w:uiPriority w:val="0"/>
    <w:pPr>
      <w:tabs>
        <w:tab w:val="left" w:pos="360"/>
      </w:tabs>
    </w:pPr>
    <w:rPr>
      <w:sz w:val="24"/>
    </w:rPr>
  </w:style>
  <w:style w:type="character" w:customStyle="1" w:styleId="20">
    <w:name w:val="标题 1 字符"/>
    <w:basedOn w:val="10"/>
    <w:link w:val="2"/>
    <w:qFormat/>
    <w:uiPriority w:val="9"/>
    <w:rPr>
      <w:rFonts w:ascii="Times New Roman" w:hAnsi="Times New Roman" w:eastAsia="宋体" w:cs="Times New Roman"/>
      <w:b/>
      <w:bCs/>
      <w:kern w:val="44"/>
      <w:sz w:val="44"/>
      <w:szCs w:val="44"/>
    </w:rPr>
  </w:style>
  <w:style w:type="paragraph" w:customStyle="1" w:styleId="21">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Version="6" SelectedStyle="\APASixthEditionOfficeOnline.xsl"/>
</file>

<file path=customXml/item2.xml>��
</file>

<file path=customXml/itemProps1.xml><?xml version="1.0" encoding="utf-8"?>
<ds:datastoreItem xmlns:ds="http://schemas.openxmlformats.org/officeDocument/2006/customXml" ds:itemID="{201CE13A-7A2F-4652-9D78-D0A55E40D30A}">
  <ds:schemaRefs/>
</ds:datastoreItem>
</file>

<file path=customXml/itemProps2.xml><?xml version="1.0" encoding="utf-8"?>
<ds:datastoreItem xmlns:ds="http://schemas.openxmlformats.org/officeDocument/2006/customXml" ds:itemID="{3A5C1172-1361-4CD2-A85D-20F6DA9991F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8387</Words>
  <Characters>9393</Characters>
  <Lines>82</Lines>
  <Paragraphs>23</Paragraphs>
  <TotalTime>0</TotalTime>
  <ScaleCrop>false</ScaleCrop>
  <LinksUpToDate>false</LinksUpToDate>
  <CharactersWithSpaces>9420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2022-04-15T23:53:00Z</dcterms:created>
  <dc:creator>Annie Jiang(蒋晏波)</dc:creator>
  <cp:lastModifiedBy>马延</cp:lastModifiedBy>
  <dcterms:modified xsi:type="dcterms:W3CDTF">2026-03-09T15:06:40Z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6554964AE8504E9E80D9ABB3FAFD1752</vt:lpwstr>
  </property>
  <property fmtid="{D5CDD505-2E9C-101B-9397-08002B2CF9AE}" pid="4" name="KSOTemplateDocerSaveRecord">
    <vt:lpwstr>eyJoZGlkIjoiYjVjZWQwYTQ4OWU2ZDM3YmRmYzEwNmEyZjVhMDk1ODUiLCJ1c2VySWQiOiIxNTM5NTA0MjMwIn0=</vt:lpwstr>
  </property>
</Properties>
</file>