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C1E8">
      <w:pPr>
        <w:autoSpaceDE w:val="0"/>
        <w:autoSpaceDN w:val="0"/>
        <w:spacing w:line="360" w:lineRule="exact"/>
        <w:ind w:right="5"/>
        <w:jc w:val="center"/>
        <w:rPr>
          <w:rFonts w:eastAsia="黑体"/>
          <w:sz w:val="28"/>
          <w:szCs w:val="32"/>
        </w:rPr>
      </w:pPr>
      <w:r>
        <w:rPr>
          <w:rFonts w:hint="eastAsia" w:eastAsia="黑体"/>
          <w:sz w:val="28"/>
          <w:szCs w:val="32"/>
        </w:rPr>
        <w:t>资产池出账</w:t>
      </w:r>
      <w:r>
        <w:rPr>
          <w:rFonts w:eastAsia="黑体"/>
          <w:sz w:val="28"/>
          <w:szCs w:val="32"/>
        </w:rPr>
        <w:t>专项协议</w:t>
      </w:r>
    </w:p>
    <w:p w14:paraId="66A07B21">
      <w:pPr>
        <w:autoSpaceDE w:val="0"/>
        <w:autoSpaceDN w:val="0"/>
        <w:spacing w:line="360" w:lineRule="exact"/>
        <w:ind w:right="5"/>
        <w:jc w:val="center"/>
        <w:rPr>
          <w:rFonts w:eastAsia="黑体"/>
          <w:sz w:val="24"/>
          <w:szCs w:val="28"/>
        </w:rPr>
      </w:pPr>
      <w:r>
        <w:rPr>
          <w:rFonts w:hint="eastAsia" w:eastAsia="黑体"/>
          <w:sz w:val="24"/>
          <w:szCs w:val="28"/>
        </w:rPr>
        <w:t>（单一客户资产池模式）</w:t>
      </w:r>
    </w:p>
    <w:p w14:paraId="712EF32E">
      <w:pPr>
        <w:autoSpaceDE w:val="0"/>
        <w:autoSpaceDN w:val="0"/>
        <w:spacing w:line="360" w:lineRule="exact"/>
        <w:ind w:right="694"/>
        <w:rPr>
          <w:rFonts w:eastAsiaTheme="minorEastAsia"/>
          <w:sz w:val="20"/>
          <w:szCs w:val="21"/>
        </w:rPr>
      </w:pPr>
    </w:p>
    <w:p w14:paraId="471BCC81">
      <w:pPr>
        <w:spacing w:line="360" w:lineRule="exact"/>
        <w:jc w:val="right"/>
        <w:rPr>
          <w:rFonts w:hint="default" w:eastAsiaTheme="minorEastAsia"/>
          <w:sz w:val="21"/>
          <w:szCs w:val="21"/>
          <w:lang w:val="en-US" w:eastAsia="zh-CN"/>
        </w:rPr>
      </w:pPr>
      <w:r>
        <w:rPr>
          <w:rFonts w:eastAsiaTheme="minorEastAsia"/>
          <w:sz w:val="21"/>
          <w:szCs w:val="21"/>
        </w:rPr>
        <w:t>合同编号：</w:t>
      </w:r>
      <w:r>
        <w:rPr>
          <w:rFonts w:hint="eastAsia" w:eastAsiaTheme="minorEastAsia"/>
          <w:sz w:val="21"/>
          <w:szCs w:val="21"/>
          <w:lang w:val="en-US" w:eastAsia="zh-CN"/>
        </w:rPr>
        <w:t>{{资池字2}}</w:t>
      </w:r>
    </w:p>
    <w:p w14:paraId="0FB66412">
      <w:pPr>
        <w:spacing w:line="360" w:lineRule="exact"/>
        <w:ind w:left="1984" w:leftChars="620"/>
        <w:jc w:val="left"/>
        <w:rPr>
          <w:rFonts w:asciiTheme="majorEastAsia" w:hAnsiTheme="majorEastAsia" w:eastAsiaTheme="majorEastAsia"/>
          <w:sz w:val="21"/>
          <w:szCs w:val="21"/>
        </w:rPr>
      </w:pPr>
      <w:r>
        <w:rPr>
          <w:rFonts w:asciiTheme="majorEastAsia" w:hAnsiTheme="majorEastAsia" w:eastAsiaTheme="majorEastAsia"/>
          <w:sz w:val="21"/>
          <w:szCs w:val="21"/>
        </w:rPr>
        <w:t>□ 非综合授信额度内</w:t>
      </w:r>
    </w:p>
    <w:p w14:paraId="1B5A421A">
      <w:pPr>
        <w:spacing w:line="360" w:lineRule="exact"/>
        <w:ind w:left="1984" w:leftChars="620"/>
        <w:rPr>
          <w:rFonts w:asciiTheme="majorEastAsia" w:hAnsiTheme="majorEastAsia" w:eastAsiaTheme="majorEastAsia"/>
          <w:sz w:val="21"/>
          <w:szCs w:val="21"/>
        </w:rPr>
      </w:pPr>
      <w:r>
        <w:rPr>
          <w:rFonts w:asciiTheme="majorEastAsia" w:hAnsiTheme="majorEastAsia" w:eastAsiaTheme="majorEastAsia"/>
          <w:sz w:val="21"/>
          <w:szCs w:val="21"/>
        </w:rPr>
        <w:t>□ 综合授信额度内    额度合同名</w:t>
      </w:r>
      <w:r>
        <w:rPr>
          <w:rFonts w:hint="eastAsia" w:ascii="Times New Roman" w:hAnsi="Times New Roman" w:cs="Times New Roman" w:eastAsiaTheme="minorEastAsia"/>
          <w:sz w:val="21"/>
          <w:szCs w:val="21"/>
        </w:rPr>
        <w:t>称：</w:t>
      </w:r>
      <w:r>
        <w:rPr>
          <w:rFonts w:hint="eastAsia" w:ascii="Times New Roman" w:hAnsi="Times New Roman" w:cs="Times New Roman" w:eastAsiaTheme="minorEastAsia"/>
          <w:sz w:val="21"/>
          <w:szCs w:val="21"/>
          <w:lang w:val="en-US" w:eastAsia="zh-CN"/>
        </w:rPr>
        <w:t>综合授信额度合同</w:t>
      </w:r>
    </w:p>
    <w:p w14:paraId="13E01391">
      <w:pPr>
        <w:spacing w:line="360" w:lineRule="exact"/>
        <w:jc w:val="right"/>
        <w:rPr>
          <w:rFonts w:hint="default" w:asciiTheme="majorEastAsia" w:hAnsiTheme="majorEastAsia" w:eastAsiaTheme="majorEastAsia"/>
          <w:sz w:val="21"/>
          <w:szCs w:val="21"/>
          <w:lang w:val="en-US"/>
        </w:rPr>
      </w:pPr>
      <w:r>
        <w:rPr>
          <w:rFonts w:asciiTheme="majorEastAsia" w:hAnsiTheme="majorEastAsia" w:eastAsiaTheme="majorEastAsia"/>
          <w:sz w:val="21"/>
          <w:szCs w:val="21"/>
        </w:rPr>
        <w:t>额度合同编号：</w:t>
      </w:r>
      <w:r>
        <w:rPr>
          <w:rFonts w:hint="eastAsia" w:eastAsiaTheme="minorEastAsia"/>
          <w:sz w:val="21"/>
          <w:szCs w:val="21"/>
          <w:lang w:val="en-US" w:eastAsia="zh-CN"/>
        </w:rPr>
        <w:t>{{</w:t>
      </w:r>
      <w:r>
        <w:rPr>
          <w:rFonts w:hint="eastAsia" w:cs="Times New Roman" w:asciiTheme="majorEastAsia" w:hAnsiTheme="majorEastAsia" w:eastAsiaTheme="majorEastAsia"/>
          <w:kern w:val="2"/>
          <w:sz w:val="21"/>
          <w:szCs w:val="21"/>
          <w:lang w:val="en-US" w:eastAsia="zh-CN" w:bidi="ar-SA"/>
        </w:rPr>
        <w:t>综字1</w:t>
      </w:r>
      <w:r>
        <w:rPr>
          <w:rFonts w:hint="eastAsia" w:eastAsiaTheme="minorEastAsia"/>
          <w:sz w:val="21"/>
          <w:szCs w:val="21"/>
          <w:lang w:val="en-US" w:eastAsia="zh-CN"/>
        </w:rPr>
        <w:t>}}</w:t>
      </w:r>
    </w:p>
    <w:p w14:paraId="307304E6">
      <w:pPr>
        <w:spacing w:line="360" w:lineRule="exact"/>
        <w:rPr>
          <w:rFonts w:eastAsiaTheme="minorEastAsia"/>
          <w:sz w:val="21"/>
          <w:szCs w:val="21"/>
        </w:rPr>
      </w:pPr>
    </w:p>
    <w:p w14:paraId="43EDFFBB">
      <w:pPr>
        <w:autoSpaceDE w:val="0"/>
        <w:autoSpaceDN w:val="0"/>
        <w:spacing w:line="360" w:lineRule="exact"/>
        <w:rPr>
          <w:rFonts w:hint="eastAsia" w:eastAsiaTheme="minorEastAsia"/>
          <w:sz w:val="21"/>
          <w:szCs w:val="21"/>
          <w:u w:val="single"/>
        </w:rPr>
      </w:pPr>
      <w:r>
        <w:rPr>
          <w:rFonts w:hint="eastAsia" w:eastAsiaTheme="minorEastAsia"/>
          <w:sz w:val="21"/>
          <w:szCs w:val="21"/>
        </w:rPr>
        <w:t>甲方：平安银行股份有限公司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5C05CE95">
      <w:pPr>
        <w:autoSpaceDE w:val="0"/>
        <w:autoSpaceDN w:val="0"/>
        <w:spacing w:line="360" w:lineRule="exact"/>
        <w:rPr>
          <w:rFonts w:hint="eastAsia" w:eastAsiaTheme="minorEastAsia"/>
          <w:sz w:val="21"/>
          <w:szCs w:val="21"/>
          <w:u w:val="single"/>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乙方：</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2AF8847C">
      <w:pPr>
        <w:autoSpaceDE w:val="0"/>
        <w:autoSpaceDN w:val="0"/>
        <w:spacing w:line="360" w:lineRule="exact"/>
        <w:rPr>
          <w:rFonts w:hint="eastAsia" w:eastAsiaTheme="minorEastAsia"/>
          <w:sz w:val="21"/>
          <w:szCs w:val="21"/>
          <w:u w:val="single"/>
        </w:rPr>
      </w:pPr>
    </w:p>
    <w:p w14:paraId="72F8405F">
      <w:pPr>
        <w:autoSpaceDE w:val="0"/>
        <w:autoSpaceDN w:val="0"/>
        <w:spacing w:line="360" w:lineRule="exact"/>
        <w:rPr>
          <w:rFonts w:eastAsiaTheme="minorEastAsia"/>
          <w:sz w:val="21"/>
          <w:szCs w:val="21"/>
        </w:rPr>
      </w:pPr>
    </w:p>
    <w:p w14:paraId="546A695B">
      <w:pPr>
        <w:autoSpaceDE w:val="0"/>
        <w:autoSpaceDN w:val="0"/>
        <w:spacing w:line="372" w:lineRule="exact"/>
        <w:ind w:firstLine="422" w:firstLineChars="200"/>
        <w:rPr>
          <w:rFonts w:eastAsia="宋体"/>
          <w:kern w:val="0"/>
          <w:sz w:val="21"/>
          <w:szCs w:val="21"/>
        </w:rPr>
      </w:pPr>
      <w:r>
        <w:rPr>
          <w:rFonts w:hAnsi="宋体" w:eastAsia="宋体"/>
          <w:b/>
          <w:bCs/>
          <w:kern w:val="0"/>
          <w:sz w:val="21"/>
          <w:szCs w:val="21"/>
        </w:rPr>
        <w:t>鉴于</w:t>
      </w:r>
      <w:r>
        <w:rPr>
          <w:rFonts w:hint="eastAsia" w:hAnsi="宋体" w:eastAsia="宋体"/>
          <w:b/>
          <w:bCs/>
          <w:kern w:val="0"/>
          <w:sz w:val="21"/>
          <w:szCs w:val="21"/>
        </w:rPr>
        <w:t>：</w:t>
      </w:r>
      <w:r>
        <w:rPr>
          <w:rFonts w:hint="eastAsia" w:hAnsi="宋体" w:eastAsia="宋体"/>
          <w:kern w:val="0"/>
          <w:sz w:val="21"/>
          <w:szCs w:val="21"/>
        </w:rPr>
        <w:t>甲乙双方有意开展合作，甲方有意根据本协议条件与条款，开展基于乙方所提供入池担保资产为评估基础的</w:t>
      </w:r>
      <w:r>
        <w:rPr>
          <w:rFonts w:hint="eastAsia" w:eastAsiaTheme="minorEastAsia"/>
          <w:sz w:val="21"/>
          <w:szCs w:val="21"/>
        </w:rPr>
        <w:t>以资产池作为出账方式的授信业务</w:t>
      </w:r>
      <w:r>
        <w:rPr>
          <w:rFonts w:hint="eastAsia" w:hAnsi="宋体" w:eastAsia="宋体"/>
          <w:kern w:val="0"/>
          <w:sz w:val="21"/>
          <w:szCs w:val="21"/>
        </w:rPr>
        <w:t>。上述业务既可由各方通过线下签署纸质相关合同文件实施（“</w:t>
      </w:r>
      <w:r>
        <w:rPr>
          <w:rFonts w:hint="eastAsia" w:hAnsi="宋体" w:eastAsia="宋体"/>
          <w:b/>
          <w:bCs/>
          <w:kern w:val="0"/>
          <w:sz w:val="21"/>
          <w:szCs w:val="21"/>
        </w:rPr>
        <w:t>线下实施方式</w:t>
      </w:r>
      <w:r>
        <w:rPr>
          <w:rFonts w:hint="eastAsia" w:hAnsi="宋体" w:eastAsia="宋体"/>
          <w:kern w:val="0"/>
          <w:sz w:val="21"/>
          <w:szCs w:val="21"/>
        </w:rPr>
        <w:t>”），亦可依托甲方体系全部或部分由乙方通过甲方提供或经甲方认可的电子银行或线上系统（“</w:t>
      </w:r>
      <w:r>
        <w:rPr>
          <w:rFonts w:hint="eastAsia" w:hAnsi="宋体" w:eastAsia="宋体"/>
          <w:b/>
          <w:bCs/>
          <w:kern w:val="0"/>
          <w:sz w:val="21"/>
          <w:szCs w:val="21"/>
        </w:rPr>
        <w:t>电子银行</w:t>
      </w:r>
      <w:r>
        <w:rPr>
          <w:rFonts w:hint="eastAsia" w:hAnsi="宋体" w:eastAsia="宋体"/>
          <w:kern w:val="0"/>
          <w:sz w:val="21"/>
          <w:szCs w:val="21"/>
        </w:rPr>
        <w:t>”、“</w:t>
      </w:r>
      <w:r>
        <w:rPr>
          <w:rFonts w:hint="eastAsia" w:hAnsi="宋体" w:eastAsia="宋体"/>
          <w:b/>
          <w:bCs/>
          <w:kern w:val="0"/>
          <w:sz w:val="21"/>
          <w:szCs w:val="21"/>
        </w:rPr>
        <w:t>线上系统</w:t>
      </w:r>
      <w:r>
        <w:rPr>
          <w:rFonts w:hint="eastAsia" w:hAnsi="宋体" w:eastAsia="宋体"/>
          <w:kern w:val="0"/>
          <w:sz w:val="21"/>
          <w:szCs w:val="21"/>
        </w:rPr>
        <w:t>”定义见下文）实施（“</w:t>
      </w:r>
      <w:r>
        <w:rPr>
          <w:rFonts w:hint="eastAsia" w:hAnsi="宋体" w:eastAsia="宋体"/>
          <w:b/>
          <w:bCs/>
          <w:kern w:val="0"/>
          <w:sz w:val="21"/>
          <w:szCs w:val="21"/>
        </w:rPr>
        <w:t>线上实施方式</w:t>
      </w:r>
      <w:r>
        <w:rPr>
          <w:rFonts w:hint="eastAsia" w:hAnsi="宋体" w:eastAsia="宋体"/>
          <w:kern w:val="0"/>
          <w:sz w:val="21"/>
          <w:szCs w:val="21"/>
        </w:rPr>
        <w:t>”）；</w:t>
      </w:r>
      <w:r>
        <w:rPr>
          <w:rFonts w:hAnsi="宋体" w:eastAsia="宋体"/>
          <w:kern w:val="0"/>
          <w:sz w:val="21"/>
          <w:szCs w:val="21"/>
        </w:rPr>
        <w:t>甲乙双方经友好协商，达成协议条款如下</w:t>
      </w:r>
      <w:r>
        <w:rPr>
          <w:rFonts w:hint="eastAsia" w:hAnsi="宋体" w:eastAsia="宋体"/>
          <w:kern w:val="0"/>
          <w:sz w:val="21"/>
          <w:szCs w:val="21"/>
        </w:rPr>
        <w:t>；</w:t>
      </w:r>
      <w:r>
        <w:rPr>
          <w:rFonts w:hint="eastAsia" w:eastAsia="宋体"/>
          <w:kern w:val="0"/>
          <w:sz w:val="21"/>
          <w:szCs w:val="21"/>
        </w:rPr>
        <w:t>为免疑义，本协议中若涉及选择项的，请在选择项内打“√”，并对不选项打“Ｘ”。</w:t>
      </w:r>
    </w:p>
    <w:p w14:paraId="2FCEA6E4">
      <w:pPr>
        <w:autoSpaceDE w:val="0"/>
        <w:autoSpaceDN w:val="0"/>
        <w:spacing w:line="372" w:lineRule="exact"/>
        <w:ind w:firstLine="420" w:firstLineChars="200"/>
        <w:rPr>
          <w:rFonts w:eastAsiaTheme="minorEastAsia"/>
          <w:sz w:val="21"/>
          <w:szCs w:val="21"/>
        </w:rPr>
      </w:pPr>
    </w:p>
    <w:p w14:paraId="786A74DF">
      <w:pPr>
        <w:pStyle w:val="9"/>
        <w:numPr>
          <w:ilvl w:val="0"/>
          <w:numId w:val="1"/>
        </w:numPr>
        <w:spacing w:line="372" w:lineRule="exact"/>
        <w:ind w:firstLineChars="0"/>
        <w:jc w:val="center"/>
        <w:outlineLvl w:val="0"/>
        <w:rPr>
          <w:b/>
          <w:bCs/>
          <w:kern w:val="0"/>
          <w:szCs w:val="21"/>
        </w:rPr>
      </w:pPr>
      <w:r>
        <w:rPr>
          <w:rFonts w:hint="eastAsia"/>
          <w:b/>
          <w:bCs/>
          <w:kern w:val="0"/>
          <w:szCs w:val="21"/>
        </w:rPr>
        <w:t>定义与解释</w:t>
      </w:r>
    </w:p>
    <w:p w14:paraId="097020A5">
      <w:pPr>
        <w:pStyle w:val="9"/>
        <w:numPr>
          <w:ilvl w:val="1"/>
          <w:numId w:val="2"/>
        </w:numPr>
        <w:spacing w:line="372" w:lineRule="exact"/>
        <w:ind w:firstLineChars="0"/>
        <w:rPr>
          <w:rFonts w:eastAsiaTheme="minorEastAsia"/>
          <w:szCs w:val="21"/>
        </w:rPr>
      </w:pPr>
      <w:r>
        <w:rPr>
          <w:rFonts w:hint="eastAsia" w:eastAsiaTheme="minorEastAsia"/>
          <w:b/>
          <w:bCs/>
          <w:szCs w:val="21"/>
        </w:rPr>
        <w:t>资产池出账</w:t>
      </w:r>
      <w:r>
        <w:rPr>
          <w:rFonts w:hint="eastAsia" w:eastAsiaTheme="minorEastAsia"/>
          <w:szCs w:val="21"/>
        </w:rPr>
        <w:t>：是指甲方依据本协议约定，并结合对乙方所提供担保资产要求（如有）或占用乙方授信额度而向乙方提供本协议项下以资产池作为出账方式的授信业务。为免疑义，乙方为本协议项下出账所提供的用于担保的各资产的集合，以下或合称为“担保资产池”（“</w:t>
      </w:r>
      <w:r>
        <w:rPr>
          <w:rFonts w:hint="eastAsia" w:eastAsiaTheme="minorEastAsia"/>
          <w:b/>
          <w:bCs/>
          <w:szCs w:val="21"/>
        </w:rPr>
        <w:t>担保资产池</w:t>
      </w:r>
      <w:r>
        <w:rPr>
          <w:rFonts w:hint="eastAsia" w:eastAsiaTheme="minorEastAsia"/>
          <w:szCs w:val="21"/>
        </w:rPr>
        <w:t>”）。</w:t>
      </w:r>
    </w:p>
    <w:p w14:paraId="45EA47A9">
      <w:pPr>
        <w:pStyle w:val="9"/>
        <w:numPr>
          <w:ilvl w:val="1"/>
          <w:numId w:val="2"/>
        </w:numPr>
        <w:spacing w:line="372" w:lineRule="exact"/>
        <w:ind w:firstLineChars="0"/>
        <w:rPr>
          <w:rFonts w:eastAsiaTheme="minorEastAsia"/>
          <w:szCs w:val="21"/>
        </w:rPr>
      </w:pPr>
      <w:r>
        <w:rPr>
          <w:rFonts w:hint="eastAsia" w:eastAsiaTheme="minorEastAsia"/>
          <w:szCs w:val="21"/>
        </w:rPr>
        <w:t>资产池出账模式分为D模式和C模式：</w:t>
      </w:r>
    </w:p>
    <w:p w14:paraId="6C150BF6">
      <w:pPr>
        <w:pStyle w:val="9"/>
        <w:spacing w:line="372" w:lineRule="exact"/>
        <w:ind w:left="531" w:firstLine="0" w:firstLineChars="0"/>
        <w:rPr>
          <w:rFonts w:eastAsiaTheme="minorEastAsia"/>
          <w:szCs w:val="21"/>
        </w:rPr>
      </w:pPr>
      <w:r>
        <w:rPr>
          <w:rFonts w:asciiTheme="majorEastAsia" w:hAnsiTheme="majorEastAsia" w:eastAsiaTheme="majorEastAsia"/>
          <w:szCs w:val="21"/>
        </w:rPr>
        <w:t>□</w:t>
      </w:r>
      <w:r>
        <w:rPr>
          <w:rFonts w:hint="eastAsia" w:eastAsiaTheme="minorEastAsia"/>
          <w:b/>
          <w:bCs/>
          <w:szCs w:val="21"/>
        </w:rPr>
        <w:t>资产池C模式：</w:t>
      </w:r>
      <w:r>
        <w:rPr>
          <w:rFonts w:hint="eastAsia" w:eastAsiaTheme="minorEastAsia"/>
          <w:szCs w:val="21"/>
        </w:rPr>
        <w:t>系资产池出账的一种，此模式下授信额度包括敞口授信额度部分和低风险授信额度部分；根据本协议项下拟申请动用的额度类型不同，对乙方所提供担保资产的要求分别如下：</w:t>
      </w:r>
      <w:r>
        <w:rPr>
          <w:rFonts w:eastAsiaTheme="minorEastAsia"/>
          <w:szCs w:val="21"/>
        </w:rPr>
        <w:t xml:space="preserve">(a) </w:t>
      </w:r>
      <w:r>
        <w:rPr>
          <w:rFonts w:hint="eastAsia" w:eastAsiaTheme="minorEastAsia"/>
          <w:szCs w:val="21"/>
        </w:rPr>
        <w:t>乙方申请动用本协议项下任何数额的敞口授信额度时，除本协议或甲方另有要求外，该等拟动用授信额度的使用，不以该额度提用申请人向甲方（或其代理）先行提供D类担保品（定义见下文）之担保保障为前提；</w:t>
      </w:r>
      <w:r>
        <w:rPr>
          <w:rFonts w:eastAsiaTheme="minorEastAsia"/>
          <w:szCs w:val="21"/>
        </w:rPr>
        <w:t>(</w:t>
      </w:r>
      <w:r>
        <w:rPr>
          <w:rFonts w:hint="eastAsia" w:eastAsiaTheme="minorEastAsia"/>
          <w:szCs w:val="21"/>
        </w:rPr>
        <w:t>b</w:t>
      </w:r>
      <w:r>
        <w:rPr>
          <w:rFonts w:eastAsiaTheme="minorEastAsia"/>
          <w:szCs w:val="21"/>
        </w:rPr>
        <w:t xml:space="preserve">) </w:t>
      </w:r>
      <w:r>
        <w:rPr>
          <w:rFonts w:hint="eastAsia" w:eastAsiaTheme="minorEastAsia"/>
          <w:szCs w:val="21"/>
        </w:rPr>
        <w:t>乙方申请动用本协议项下任何数额的低风险授信额度时，该等拟动用授信额度均仍须已相应取得经甲方认可的</w:t>
      </w:r>
      <w:r>
        <w:rPr>
          <w:rFonts w:eastAsiaTheme="minorEastAsia"/>
          <w:szCs w:val="21"/>
        </w:rPr>
        <w:t>D</w:t>
      </w:r>
      <w:r>
        <w:rPr>
          <w:rFonts w:hint="eastAsia" w:eastAsiaTheme="minorEastAsia"/>
          <w:szCs w:val="21"/>
        </w:rPr>
        <w:t>类担保品之担保保障（本协议另有要求或甲方另行同意的除外）；</w:t>
      </w:r>
    </w:p>
    <w:p w14:paraId="7633FFED">
      <w:pPr>
        <w:pStyle w:val="9"/>
        <w:spacing w:line="372" w:lineRule="exact"/>
        <w:ind w:left="531" w:firstLine="0" w:firstLineChars="0"/>
        <w:rPr>
          <w:rFonts w:eastAsiaTheme="minorEastAsia"/>
          <w:szCs w:val="21"/>
        </w:rPr>
      </w:pPr>
      <w:r>
        <w:rPr>
          <w:rFonts w:asciiTheme="majorEastAsia" w:hAnsiTheme="majorEastAsia" w:eastAsiaTheme="majorEastAsia"/>
          <w:szCs w:val="21"/>
        </w:rPr>
        <w:t>□</w:t>
      </w:r>
      <w:r>
        <w:rPr>
          <w:rFonts w:hint="eastAsia" w:eastAsiaTheme="minorEastAsia"/>
          <w:b/>
          <w:bCs/>
          <w:szCs w:val="21"/>
        </w:rPr>
        <w:t>资产池D模式：</w:t>
      </w:r>
      <w:r>
        <w:rPr>
          <w:rFonts w:hint="eastAsia" w:eastAsiaTheme="minorEastAsia"/>
          <w:szCs w:val="21"/>
        </w:rPr>
        <w:t>系资产池出账的一种，此模式下对乙方所提供担保资产要求为：乙方在申请动用本协议项下任何数额的授信时，该等拟动用出账金额均须已相应取得经甲方认可的D类担保品（定义见下文）之担保保障（本协议另有要求或甲方另行同意的除外）；</w:t>
      </w:r>
    </w:p>
    <w:p w14:paraId="65F1F9E9">
      <w:pPr>
        <w:pStyle w:val="9"/>
        <w:numPr>
          <w:ilvl w:val="1"/>
          <w:numId w:val="2"/>
        </w:numPr>
        <w:spacing w:line="372" w:lineRule="exact"/>
        <w:ind w:firstLineChars="0"/>
        <w:rPr>
          <w:rFonts w:eastAsiaTheme="minorEastAsia"/>
          <w:szCs w:val="21"/>
        </w:rPr>
      </w:pPr>
      <w:r>
        <w:rPr>
          <w:rFonts w:hint="eastAsia" w:eastAsiaTheme="minorEastAsia"/>
          <w:b/>
          <w:bCs/>
          <w:szCs w:val="21"/>
        </w:rPr>
        <w:t>入池担保资产</w:t>
      </w:r>
      <w:r>
        <w:rPr>
          <w:rFonts w:hint="eastAsia" w:eastAsiaTheme="minorEastAsia"/>
          <w:szCs w:val="21"/>
        </w:rPr>
        <w:t>：是指担保资产池项下所列资产，该等资产经其权利人以书面（包括线下实施方式及/或线上实施方式）或其他方式确认为本协议项下授信债务提供担保，具体以甲方系统记录和显示的担保资产池项下担保资产清单为准。为免疑义，可纳入担保资产池内的具体担保资产种类包括但不限于：现金</w:t>
      </w:r>
      <w:r>
        <w:rPr>
          <w:rFonts w:eastAsiaTheme="minorEastAsia"/>
          <w:szCs w:val="21"/>
        </w:rPr>
        <w:t>/</w:t>
      </w:r>
      <w:r>
        <w:rPr>
          <w:rFonts w:hint="eastAsia" w:eastAsiaTheme="minorEastAsia"/>
          <w:szCs w:val="21"/>
        </w:rPr>
        <w:t>存款、准现金资产（包括银行承兑汇票、单位大额存单、人民币单位定期存款/存单、人民币保本理财产品、对公结构性存款（保证金模式）、对公结构性存款存单、保证金）以及其他为甲方接受的担保资产种类；可纳入担保资产池内的资产种类以甲方不时公布接受类型为准。</w:t>
      </w:r>
    </w:p>
    <w:p w14:paraId="700C1D45">
      <w:pPr>
        <w:pStyle w:val="9"/>
        <w:numPr>
          <w:ilvl w:val="1"/>
          <w:numId w:val="2"/>
        </w:numPr>
        <w:spacing w:line="372" w:lineRule="exact"/>
        <w:ind w:firstLineChars="0"/>
        <w:rPr>
          <w:rFonts w:eastAsiaTheme="minorEastAsia"/>
          <w:szCs w:val="21"/>
        </w:rPr>
      </w:pPr>
      <w:r>
        <w:rPr>
          <w:rFonts w:hint="eastAsia" w:eastAsiaTheme="minorEastAsia"/>
          <w:b/>
          <w:bCs/>
          <w:szCs w:val="21"/>
        </w:rPr>
        <w:t>D类担保品</w:t>
      </w:r>
      <w:r>
        <w:rPr>
          <w:rFonts w:hint="eastAsia" w:eastAsiaTheme="minorEastAsia"/>
          <w:szCs w:val="21"/>
        </w:rPr>
        <w:t>：是指上述可入池担保资产中、甲方认可为低风险类担保品的资产种类，包括但不限于：现金</w:t>
      </w:r>
      <w:r>
        <w:rPr>
          <w:rFonts w:eastAsiaTheme="minorEastAsia"/>
          <w:szCs w:val="21"/>
        </w:rPr>
        <w:t>/</w:t>
      </w:r>
      <w:r>
        <w:rPr>
          <w:rFonts w:hint="eastAsia" w:eastAsiaTheme="minorEastAsia"/>
          <w:szCs w:val="21"/>
        </w:rPr>
        <w:t>存款、准现金资产（包括银行承兑汇票、单位大额存单、人民币单位定期存款存单、人民币保本理财产品、对公结构性存款存单、对公结构性存款（保证金模式）、保证金、国开债）以及其他为甲方接受的低风险类担保资产种类。</w:t>
      </w:r>
    </w:p>
    <w:p w14:paraId="2ABB6973">
      <w:pPr>
        <w:pStyle w:val="9"/>
        <w:numPr>
          <w:ilvl w:val="1"/>
          <w:numId w:val="2"/>
        </w:numPr>
        <w:spacing w:line="372" w:lineRule="exact"/>
        <w:ind w:firstLineChars="0"/>
        <w:rPr>
          <w:rFonts w:eastAsiaTheme="minorEastAsia"/>
          <w:szCs w:val="21"/>
        </w:rPr>
      </w:pPr>
      <w:r>
        <w:rPr>
          <w:rFonts w:eastAsiaTheme="minorEastAsia"/>
          <w:b/>
          <w:bCs/>
          <w:szCs w:val="21"/>
        </w:rPr>
        <w:t>银行承兑汇票</w:t>
      </w:r>
      <w:r>
        <w:rPr>
          <w:rFonts w:hint="eastAsia" w:eastAsiaTheme="minorEastAsia"/>
          <w:szCs w:val="21"/>
        </w:rPr>
        <w:t>：</w:t>
      </w:r>
      <w:r>
        <w:rPr>
          <w:rFonts w:eastAsiaTheme="minorEastAsia"/>
          <w:szCs w:val="21"/>
        </w:rPr>
        <w:t>包括纸质银行承兑汇票和</w:t>
      </w:r>
      <w:bookmarkStart w:id="0" w:name="OLE_LINK4"/>
      <w:bookmarkStart w:id="1" w:name="OLE_LINK2"/>
      <w:r>
        <w:rPr>
          <w:rFonts w:hint="eastAsia" w:eastAsiaTheme="minorEastAsia"/>
          <w:szCs w:val="21"/>
        </w:rPr>
        <w:t>/或</w:t>
      </w:r>
      <w:r>
        <w:rPr>
          <w:rFonts w:eastAsiaTheme="minorEastAsia"/>
          <w:szCs w:val="21"/>
        </w:rPr>
        <w:t>电子银行承兑汇票。</w:t>
      </w:r>
    </w:p>
    <w:p w14:paraId="74599420">
      <w:pPr>
        <w:pStyle w:val="9"/>
        <w:spacing w:line="372" w:lineRule="exact"/>
        <w:ind w:left="531" w:firstLine="0" w:firstLineChars="0"/>
        <w:rPr>
          <w:rFonts w:eastAsiaTheme="minorEastAsia"/>
          <w:szCs w:val="21"/>
        </w:rPr>
      </w:pPr>
    </w:p>
    <w:bookmarkEnd w:id="0"/>
    <w:bookmarkEnd w:id="1"/>
    <w:p w14:paraId="6920BD69">
      <w:pPr>
        <w:pStyle w:val="9"/>
        <w:numPr>
          <w:ilvl w:val="0"/>
          <w:numId w:val="1"/>
        </w:numPr>
        <w:spacing w:line="372" w:lineRule="exact"/>
        <w:ind w:firstLineChars="0"/>
        <w:jc w:val="center"/>
        <w:outlineLvl w:val="0"/>
        <w:rPr>
          <w:b/>
          <w:bCs/>
          <w:kern w:val="0"/>
          <w:szCs w:val="21"/>
        </w:rPr>
      </w:pPr>
      <w:r>
        <w:rPr>
          <w:rFonts w:hint="eastAsia"/>
          <w:b/>
          <w:bCs/>
          <w:kern w:val="0"/>
          <w:szCs w:val="21"/>
        </w:rPr>
        <w:t>资产池出账</w:t>
      </w:r>
    </w:p>
    <w:p w14:paraId="36324016">
      <w:pPr>
        <w:pStyle w:val="9"/>
        <w:numPr>
          <w:ilvl w:val="1"/>
          <w:numId w:val="3"/>
        </w:numPr>
        <w:spacing w:line="372" w:lineRule="exact"/>
        <w:ind w:firstLineChars="0"/>
        <w:rPr>
          <w:rFonts w:eastAsiaTheme="minorEastAsia"/>
          <w:b/>
          <w:bCs/>
          <w:szCs w:val="21"/>
        </w:rPr>
      </w:pPr>
      <w:r>
        <w:rPr>
          <w:rFonts w:hint="eastAsia" w:eastAsiaTheme="minorEastAsia"/>
          <w:b/>
          <w:bCs/>
          <w:szCs w:val="21"/>
        </w:rPr>
        <w:t>资产池出账（单一客户资产池模式）</w:t>
      </w:r>
    </w:p>
    <w:p w14:paraId="0723C981">
      <w:pPr>
        <w:pStyle w:val="9"/>
        <w:numPr>
          <w:ilvl w:val="2"/>
          <w:numId w:val="4"/>
        </w:numPr>
        <w:spacing w:line="372" w:lineRule="exact"/>
        <w:ind w:left="546" w:hanging="560" w:firstLineChars="0"/>
        <w:rPr>
          <w:rFonts w:eastAsiaTheme="minorEastAsia"/>
          <w:szCs w:val="21"/>
        </w:rPr>
      </w:pPr>
      <w:r>
        <w:rPr>
          <w:rFonts w:hint="eastAsia" w:eastAsiaTheme="minorEastAsia"/>
          <w:szCs w:val="21"/>
        </w:rPr>
        <w:t>本协议双方依据本协议约定的条件与条款开展单一客户资产池出账业务；具体而言，</w:t>
      </w:r>
      <w:r>
        <w:rPr>
          <w:rFonts w:eastAsiaTheme="minorEastAsia"/>
          <w:szCs w:val="21"/>
        </w:rPr>
        <w:t>甲方</w:t>
      </w:r>
      <w:r>
        <w:rPr>
          <w:rFonts w:hint="eastAsia" w:eastAsiaTheme="minorEastAsia"/>
          <w:szCs w:val="21"/>
        </w:rPr>
        <w:t>将依据</w:t>
      </w:r>
      <w:r>
        <w:rPr>
          <w:rFonts w:eastAsiaTheme="minorEastAsia"/>
          <w:szCs w:val="21"/>
        </w:rPr>
        <w:t>乙方</w:t>
      </w:r>
      <w:r>
        <w:rPr>
          <w:rFonts w:hint="eastAsia" w:eastAsiaTheme="minorEastAsia"/>
          <w:szCs w:val="21"/>
        </w:rPr>
        <w:t>以其所</w:t>
      </w:r>
      <w:r>
        <w:rPr>
          <w:rFonts w:eastAsiaTheme="minorEastAsia"/>
          <w:szCs w:val="21"/>
        </w:rPr>
        <w:t>持有的</w:t>
      </w:r>
      <w:r>
        <w:rPr>
          <w:rFonts w:hint="eastAsia" w:eastAsiaTheme="minorEastAsia"/>
          <w:szCs w:val="21"/>
        </w:rPr>
        <w:t>现金、存款、</w:t>
      </w:r>
      <w:r>
        <w:rPr>
          <w:rFonts w:eastAsiaTheme="minorEastAsia"/>
          <w:szCs w:val="21"/>
        </w:rPr>
        <w:t>银行承兑汇票及甲方认可的其他</w:t>
      </w:r>
      <w:r>
        <w:rPr>
          <w:rFonts w:hint="eastAsia" w:eastAsiaTheme="minorEastAsia"/>
          <w:szCs w:val="21"/>
        </w:rPr>
        <w:t>“</w:t>
      </w:r>
      <w:r>
        <w:rPr>
          <w:rFonts w:eastAsiaTheme="minorEastAsia"/>
          <w:szCs w:val="21"/>
        </w:rPr>
        <w:t>现金</w:t>
      </w:r>
      <w:r>
        <w:rPr>
          <w:rFonts w:hint="eastAsia" w:eastAsiaTheme="minorEastAsia"/>
          <w:szCs w:val="21"/>
        </w:rPr>
        <w:t>/</w:t>
      </w:r>
      <w:r>
        <w:rPr>
          <w:rFonts w:eastAsiaTheme="minorEastAsia"/>
          <w:szCs w:val="21"/>
        </w:rPr>
        <w:t>准现金</w:t>
      </w:r>
      <w:r>
        <w:rPr>
          <w:rFonts w:hint="eastAsia" w:eastAsiaTheme="minorEastAsia"/>
          <w:szCs w:val="21"/>
        </w:rPr>
        <w:t>”类</w:t>
      </w:r>
      <w:r>
        <w:rPr>
          <w:rFonts w:eastAsiaTheme="minorEastAsia"/>
          <w:szCs w:val="21"/>
        </w:rPr>
        <w:t>资产</w:t>
      </w:r>
      <w:r>
        <w:rPr>
          <w:rFonts w:hint="eastAsia" w:eastAsiaTheme="minorEastAsia"/>
          <w:szCs w:val="21"/>
        </w:rPr>
        <w:t>、及/或经甲方认可的其他类型资产，为乙方提供担保所</w:t>
      </w:r>
      <w:r>
        <w:rPr>
          <w:rFonts w:eastAsiaTheme="minorEastAsia"/>
          <w:szCs w:val="21"/>
        </w:rPr>
        <w:t>构成的</w:t>
      </w:r>
      <w:r>
        <w:rPr>
          <w:rFonts w:hint="eastAsia" w:eastAsiaTheme="minorEastAsia"/>
          <w:szCs w:val="21"/>
        </w:rPr>
        <w:t>担保</w:t>
      </w:r>
      <w:r>
        <w:rPr>
          <w:rFonts w:eastAsiaTheme="minorEastAsia"/>
          <w:szCs w:val="21"/>
        </w:rPr>
        <w:t>资产</w:t>
      </w:r>
      <w:r>
        <w:rPr>
          <w:rFonts w:hint="eastAsia" w:eastAsiaTheme="minorEastAsia"/>
          <w:szCs w:val="21"/>
        </w:rPr>
        <w:t>池，</w:t>
      </w:r>
      <w:r>
        <w:rPr>
          <w:rFonts w:eastAsiaTheme="minorEastAsia"/>
          <w:szCs w:val="21"/>
        </w:rPr>
        <w:t>而向乙方</w:t>
      </w:r>
      <w:r>
        <w:rPr>
          <w:rFonts w:hint="eastAsia" w:eastAsiaTheme="minorEastAsia"/>
          <w:szCs w:val="21"/>
        </w:rPr>
        <w:t>提供</w:t>
      </w:r>
      <w:r>
        <w:rPr>
          <w:rFonts w:eastAsiaTheme="minorEastAsia"/>
          <w:szCs w:val="21"/>
        </w:rPr>
        <w:t>授信。</w:t>
      </w:r>
      <w:r>
        <w:rPr>
          <w:rFonts w:hint="eastAsia" w:eastAsiaTheme="minorEastAsia"/>
          <w:szCs w:val="21"/>
        </w:rPr>
        <w:t>乙方提供担保时须另行与甲方签署《资产池出账最高额质押合同》及/或其他最高额担保文件。</w:t>
      </w:r>
    </w:p>
    <w:p w14:paraId="09BF05D9">
      <w:pPr>
        <w:pStyle w:val="9"/>
        <w:numPr>
          <w:ilvl w:val="2"/>
          <w:numId w:val="4"/>
        </w:numPr>
        <w:spacing w:line="372" w:lineRule="exact"/>
        <w:ind w:left="546" w:hanging="560" w:firstLineChars="0"/>
        <w:rPr>
          <w:rFonts w:eastAsiaTheme="minorEastAsia"/>
          <w:szCs w:val="21"/>
        </w:rPr>
      </w:pPr>
      <w:r>
        <w:rPr>
          <w:rFonts w:hint="eastAsia" w:eastAsiaTheme="minorEastAsia"/>
          <w:szCs w:val="21"/>
        </w:rPr>
        <w:t>乙方若申请动用综合授信项下任何数额的信用授信额度时，除本协议或甲方另有要求外，该等拟动用授信额度的使用，不以该额度提用申请人向甲方（或其代理）先行提供担保品之担保保障为前提。</w:t>
      </w:r>
    </w:p>
    <w:p w14:paraId="26CFC9A3">
      <w:pPr>
        <w:pStyle w:val="9"/>
        <w:numPr>
          <w:ilvl w:val="2"/>
          <w:numId w:val="4"/>
        </w:numPr>
        <w:spacing w:line="372" w:lineRule="exact"/>
        <w:ind w:left="546" w:hanging="560" w:firstLineChars="0"/>
        <w:rPr>
          <w:rFonts w:eastAsiaTheme="minorEastAsia"/>
          <w:b/>
          <w:bCs/>
          <w:szCs w:val="21"/>
        </w:rPr>
      </w:pPr>
      <w:r>
        <w:rPr>
          <w:rFonts w:hint="eastAsia" w:eastAsiaTheme="minorEastAsia"/>
          <w:b/>
          <w:bCs/>
          <w:szCs w:val="21"/>
        </w:rPr>
        <w:t>单一客户资产池出账项下，甲方依据本协议相关约定为乙方提供本协议项下出账，乙方所提供的各项担保统一视为系为甲方在资产池出账项下具体授信业务而提供之担保。</w:t>
      </w:r>
    </w:p>
    <w:p w14:paraId="6E6D287E">
      <w:pPr>
        <w:pStyle w:val="9"/>
        <w:numPr>
          <w:ilvl w:val="1"/>
          <w:numId w:val="4"/>
        </w:numPr>
        <w:spacing w:line="372" w:lineRule="exact"/>
        <w:ind w:firstLineChars="0"/>
        <w:rPr>
          <w:rFonts w:eastAsiaTheme="minorEastAsia"/>
          <w:szCs w:val="21"/>
        </w:rPr>
      </w:pPr>
      <w:r>
        <w:rPr>
          <w:rFonts w:hint="eastAsia" w:eastAsiaTheme="minorEastAsia"/>
          <w:b/>
          <w:bCs/>
          <w:szCs w:val="21"/>
        </w:rPr>
        <w:t>以资产池作为出账方式可使用授信额度</w:t>
      </w:r>
      <w:r>
        <w:rPr>
          <w:rFonts w:hint="eastAsia" w:eastAsiaTheme="minorEastAsia"/>
          <w:szCs w:val="21"/>
        </w:rPr>
        <w:t>：受限于本协议项下条件与条款，甲方同意向乙方提供最高</w:t>
      </w:r>
      <w:r>
        <w:rPr>
          <w:rFonts w:hint="eastAsia"/>
          <w:kern w:val="0"/>
          <w:szCs w:val="21"/>
          <w:u w:val="single"/>
          <w:lang w:val="en-US" w:eastAsia="zh-CN"/>
        </w:rPr>
        <w:t>{{币种}}</w:t>
      </w:r>
      <w:r>
        <w:rPr>
          <w:rFonts w:hint="eastAsia"/>
          <w:kern w:val="0"/>
          <w:szCs w:val="21"/>
        </w:rPr>
        <w:t>（小写）</w:t>
      </w:r>
      <w:r>
        <w:rPr>
          <w:rFonts w:hint="eastAsia"/>
          <w:kern w:val="0"/>
          <w:szCs w:val="21"/>
          <w:u w:val="single"/>
          <w:lang w:val="en-US" w:eastAsia="zh-CN"/>
        </w:rPr>
        <w:t>{{</w:t>
      </w:r>
      <w:r>
        <w:rPr>
          <w:rFonts w:hint="eastAsia" w:ascii="宋体" w:hAnsi="宋体"/>
          <w:kern w:val="0"/>
          <w:szCs w:val="21"/>
          <w:u w:val="single"/>
          <w:lang w:val="en-US" w:eastAsia="zh-CN"/>
        </w:rPr>
        <w:t>批复金额</w:t>
      </w:r>
      <w:r>
        <w:rPr>
          <w:rFonts w:hint="eastAsia"/>
          <w:kern w:val="0"/>
          <w:szCs w:val="21"/>
          <w:u w:val="single"/>
          <w:lang w:val="en-US" w:eastAsia="zh-CN"/>
        </w:rPr>
        <w:t>}}</w:t>
      </w:r>
      <w:r>
        <w:rPr>
          <w:rFonts w:hint="eastAsia"/>
          <w:kern w:val="0"/>
          <w:szCs w:val="21"/>
        </w:rPr>
        <w:t>（大写）</w:t>
      </w:r>
      <w:r>
        <w:rPr>
          <w:rFonts w:hint="eastAsia"/>
          <w:kern w:val="0"/>
          <w:szCs w:val="21"/>
          <w:u w:val="single"/>
          <w:lang w:val="en-US" w:eastAsia="zh-CN"/>
        </w:rPr>
        <w:t>{{批复金额大写}}</w:t>
      </w:r>
      <w:r>
        <w:rPr>
          <w:rFonts w:hint="eastAsia"/>
          <w:kern w:val="0"/>
          <w:szCs w:val="21"/>
        </w:rPr>
        <w:t>的可用额度</w:t>
      </w:r>
      <w:r>
        <w:rPr>
          <w:rFonts w:hint="eastAsia" w:eastAsiaTheme="minorEastAsia"/>
          <w:szCs w:val="21"/>
        </w:rPr>
        <w:t>。</w:t>
      </w:r>
    </w:p>
    <w:p w14:paraId="1909ED91">
      <w:pPr>
        <w:pStyle w:val="9"/>
        <w:numPr>
          <w:ilvl w:val="1"/>
          <w:numId w:val="4"/>
        </w:numPr>
        <w:spacing w:line="372" w:lineRule="exact"/>
        <w:ind w:firstLineChars="0"/>
        <w:rPr>
          <w:kern w:val="0"/>
          <w:szCs w:val="21"/>
        </w:rPr>
      </w:pPr>
      <w:r>
        <w:rPr>
          <w:rFonts w:hint="eastAsia"/>
          <w:b/>
          <w:bCs/>
          <w:kern w:val="0"/>
          <w:szCs w:val="21"/>
        </w:rPr>
        <w:t>可用额度期限</w:t>
      </w:r>
      <w:r>
        <w:rPr>
          <w:rFonts w:hint="eastAsia"/>
          <w:kern w:val="0"/>
          <w:szCs w:val="21"/>
        </w:rPr>
        <w:t>：</w:t>
      </w:r>
      <w:r>
        <w:rPr>
          <w:rFonts w:eastAsiaTheme="minorEastAsia"/>
          <w:szCs w:val="21"/>
        </w:rPr>
        <w:t>从</w:t>
      </w:r>
      <w:r>
        <w:rPr>
          <w:rFonts w:hint="eastAsia"/>
          <w:kern w:val="0"/>
          <w:szCs w:val="21"/>
          <w:lang w:val="en-US" w:eastAsia="zh-CN"/>
        </w:rPr>
        <w:t>{{额度启用日期}}</w:t>
      </w:r>
      <w:r>
        <w:rPr>
          <w:szCs w:val="21"/>
        </w:rPr>
        <w:t>_____</w:t>
      </w:r>
      <w:r>
        <w:rPr>
          <w:rFonts w:eastAsiaTheme="minorEastAsia"/>
          <w:szCs w:val="21"/>
        </w:rPr>
        <w:t>日起</w:t>
      </w:r>
      <w:r>
        <w:rPr>
          <w:rFonts w:hint="eastAsia" w:eastAsiaTheme="minorEastAsia"/>
          <w:szCs w:val="21"/>
          <w:lang w:eastAsia="zh-CN"/>
        </w:rPr>
        <w:t>至</w:t>
      </w:r>
      <w:r>
        <w:rPr>
          <w:rFonts w:hint="eastAsia"/>
          <w:kern w:val="0"/>
          <w:szCs w:val="21"/>
          <w:lang w:val="en-US" w:eastAsia="zh-CN"/>
        </w:rPr>
        <w:t>{{额度到期日期}}</w:t>
      </w:r>
      <w:r>
        <w:rPr>
          <w:szCs w:val="21"/>
        </w:rPr>
        <w:t>_____</w:t>
      </w:r>
      <w:r>
        <w:rPr>
          <w:rFonts w:eastAsiaTheme="minorEastAsia"/>
          <w:szCs w:val="21"/>
        </w:rPr>
        <w:t>日止</w:t>
      </w:r>
      <w:r>
        <w:rPr>
          <w:rFonts w:hint="eastAsia" w:eastAsiaTheme="minorEastAsia"/>
          <w:szCs w:val="21"/>
        </w:rPr>
        <w:t>；前述</w:t>
      </w:r>
      <w:r>
        <w:rPr>
          <w:rFonts w:hint="eastAsia"/>
          <w:kern w:val="0"/>
          <w:szCs w:val="21"/>
        </w:rPr>
        <w:t>额度期限内，</w:t>
      </w:r>
      <w:r>
        <w:rPr>
          <w:rFonts w:hint="eastAsia" w:eastAsiaTheme="minorEastAsia"/>
          <w:szCs w:val="21"/>
        </w:rPr>
        <w:t>额度为</w:t>
      </w:r>
      <w:r>
        <w:rPr>
          <w:rFonts w:hint="eastAsia"/>
          <w:kern w:val="0"/>
          <w:szCs w:val="21"/>
        </w:rPr>
        <w:t>可循环使用额度，但额度内各种授信品种本金余额合计不得超过前述可用额度金额。额度期限届满后，未使用的额度自动失效。</w:t>
      </w:r>
      <w:r>
        <w:rPr>
          <w:rFonts w:hint="eastAsia"/>
          <w:b/>
          <w:kern w:val="0"/>
          <w:szCs w:val="21"/>
        </w:rPr>
        <w:t>为免疑义，本协议中提及的额度期限是指额度项下具体业务的发生期间（即债权确定期间），额度项下具体业务的起始日期必须在额度期限内，具体业务的终止日期可以超出额度期限，具体业务的起始日期及终止日期以具体授信业务合同的约定为准。</w:t>
      </w:r>
    </w:p>
    <w:p w14:paraId="14C4DC34">
      <w:pPr>
        <w:pStyle w:val="9"/>
        <w:numPr>
          <w:ilvl w:val="1"/>
          <w:numId w:val="4"/>
        </w:numPr>
        <w:spacing w:line="372" w:lineRule="exact"/>
        <w:ind w:firstLineChars="0"/>
        <w:rPr>
          <w:rFonts w:eastAsiaTheme="minorEastAsia"/>
          <w:szCs w:val="21"/>
        </w:rPr>
      </w:pPr>
      <w:r>
        <w:rPr>
          <w:rFonts w:hint="eastAsia" w:eastAsiaTheme="minorEastAsia"/>
          <w:b/>
          <w:bCs/>
          <w:szCs w:val="21"/>
        </w:rPr>
        <w:t>可用额度：</w:t>
      </w:r>
    </w:p>
    <w:p w14:paraId="5F021BCC">
      <w:pPr>
        <w:pStyle w:val="9"/>
        <w:spacing w:line="372" w:lineRule="exact"/>
        <w:ind w:left="531" w:firstLine="0" w:firstLineChars="0"/>
        <w:rPr>
          <w:kern w:val="0"/>
          <w:szCs w:val="21"/>
        </w:rPr>
      </w:pPr>
      <w:r>
        <w:rPr>
          <w:rFonts w:hint="eastAsia"/>
          <w:kern w:val="0"/>
          <w:szCs w:val="21"/>
        </w:rPr>
        <w:t>为本协议目的，尽管有前述约定，本协议项下甲方实际向乙方提供的授信本金余额，在任何情况下不应超过下述两项中之较低者：</w:t>
      </w:r>
      <w:r>
        <w:rPr>
          <w:kern w:val="0"/>
          <w:szCs w:val="21"/>
        </w:rPr>
        <w:t xml:space="preserve">(a) </w:t>
      </w:r>
      <w:r>
        <w:rPr>
          <w:rFonts w:hint="eastAsia"/>
          <w:kern w:val="0"/>
          <w:szCs w:val="21"/>
        </w:rPr>
        <w:t>上述</w:t>
      </w:r>
      <w:r>
        <w:rPr>
          <w:kern w:val="0"/>
          <w:szCs w:val="21"/>
        </w:rPr>
        <w:t>2.2</w:t>
      </w:r>
      <w:r>
        <w:rPr>
          <w:rFonts w:hint="eastAsia"/>
          <w:kern w:val="0"/>
          <w:szCs w:val="21"/>
        </w:rPr>
        <w:t>条约定的最高可用授信额度；以及</w:t>
      </w:r>
      <w:r>
        <w:rPr>
          <w:kern w:val="0"/>
          <w:szCs w:val="21"/>
        </w:rPr>
        <w:t xml:space="preserve"> (b) </w:t>
      </w:r>
      <w:r>
        <w:rPr>
          <w:rFonts w:hint="eastAsia"/>
          <w:kern w:val="0"/>
          <w:szCs w:val="21"/>
        </w:rPr>
        <w:t>甲方或甲方系统基于对乙方所提供入池担保资产整体进行综合评估而得出的授信可用限额（“基于整体入池担保资产核定的可用限额”</w:t>
      </w:r>
      <w:r>
        <w:rPr>
          <w:kern w:val="0"/>
          <w:szCs w:val="21"/>
        </w:rPr>
        <w:t>[</w:t>
      </w:r>
      <w:r>
        <w:rPr>
          <w:rFonts w:hint="eastAsia"/>
          <w:kern w:val="0"/>
          <w:szCs w:val="21"/>
        </w:rPr>
        <w:t>如有</w:t>
      </w:r>
      <w:r>
        <w:rPr>
          <w:kern w:val="0"/>
          <w:szCs w:val="21"/>
        </w:rPr>
        <w:t>]</w:t>
      </w:r>
      <w:r>
        <w:rPr>
          <w:rFonts w:hint="eastAsia"/>
          <w:kern w:val="0"/>
          <w:szCs w:val="21"/>
        </w:rPr>
        <w:t>，具体以甲方或甲方系统届时显示或通知为准）。</w:t>
      </w:r>
    </w:p>
    <w:p w14:paraId="576C9EED">
      <w:pPr>
        <w:spacing w:line="372" w:lineRule="exact"/>
        <w:rPr>
          <w:rFonts w:eastAsiaTheme="minorEastAsia"/>
          <w:szCs w:val="21"/>
        </w:rPr>
      </w:pPr>
    </w:p>
    <w:p w14:paraId="0CA53E7B">
      <w:pPr>
        <w:spacing w:line="372" w:lineRule="exact"/>
        <w:rPr>
          <w:rFonts w:eastAsiaTheme="minorEastAsia"/>
          <w:sz w:val="21"/>
          <w:szCs w:val="21"/>
        </w:rPr>
      </w:pPr>
    </w:p>
    <w:p w14:paraId="14ED9722">
      <w:pPr>
        <w:pStyle w:val="9"/>
        <w:numPr>
          <w:ilvl w:val="0"/>
          <w:numId w:val="1"/>
        </w:numPr>
        <w:spacing w:line="372" w:lineRule="exact"/>
        <w:ind w:firstLineChars="0"/>
        <w:jc w:val="center"/>
        <w:outlineLvl w:val="0"/>
        <w:rPr>
          <w:b/>
          <w:bCs/>
          <w:kern w:val="0"/>
          <w:szCs w:val="21"/>
        </w:rPr>
      </w:pPr>
      <w:r>
        <w:rPr>
          <w:rFonts w:hint="eastAsia"/>
          <w:b/>
          <w:bCs/>
          <w:kern w:val="0"/>
          <w:szCs w:val="21"/>
        </w:rPr>
        <w:t>以资产池作为出账方式的授信额度的使用</w:t>
      </w:r>
    </w:p>
    <w:p w14:paraId="50D68D50">
      <w:pPr>
        <w:pStyle w:val="9"/>
        <w:numPr>
          <w:ilvl w:val="1"/>
          <w:numId w:val="5"/>
        </w:numPr>
        <w:spacing w:line="372" w:lineRule="exact"/>
        <w:ind w:firstLineChars="0"/>
        <w:rPr>
          <w:rFonts w:asciiTheme="majorEastAsia" w:hAnsiTheme="majorEastAsia" w:eastAsiaTheme="majorEastAsia"/>
          <w:szCs w:val="21"/>
        </w:rPr>
      </w:pPr>
      <w:r>
        <w:rPr>
          <w:rFonts w:hint="eastAsia" w:eastAsiaTheme="minorEastAsia"/>
          <w:b/>
          <w:bCs/>
          <w:szCs w:val="21"/>
        </w:rPr>
        <w:t>以资产池作为出账方式的授信额度的使用</w:t>
      </w:r>
    </w:p>
    <w:p w14:paraId="2E15C398">
      <w:pPr>
        <w:pStyle w:val="9"/>
        <w:spacing w:line="372" w:lineRule="exact"/>
        <w:ind w:left="531" w:firstLine="0" w:firstLineChars="0"/>
        <w:rPr>
          <w:rFonts w:asciiTheme="majorEastAsia" w:hAnsiTheme="majorEastAsia" w:eastAsiaTheme="majorEastAsia"/>
          <w:szCs w:val="21"/>
        </w:rPr>
      </w:pPr>
      <w:r>
        <w:rPr>
          <w:rFonts w:hint="eastAsia" w:eastAsiaTheme="minorEastAsia"/>
          <w:szCs w:val="21"/>
        </w:rPr>
        <w:t>本协议额度期限内，</w:t>
      </w:r>
      <w:r>
        <w:rPr>
          <w:rFonts w:hint="eastAsia" w:asciiTheme="majorEastAsia" w:hAnsiTheme="majorEastAsia" w:eastAsiaTheme="majorEastAsia"/>
          <w:szCs w:val="21"/>
        </w:rPr>
        <w:t>授信</w:t>
      </w:r>
      <w:r>
        <w:rPr>
          <w:rFonts w:asciiTheme="majorEastAsia" w:hAnsiTheme="majorEastAsia" w:eastAsiaTheme="majorEastAsia"/>
          <w:szCs w:val="21"/>
        </w:rPr>
        <w:t>额度可循环使用。</w:t>
      </w:r>
      <w:r>
        <w:rPr>
          <w:rFonts w:hint="eastAsia" w:asciiTheme="majorEastAsia" w:hAnsiTheme="majorEastAsia" w:eastAsiaTheme="majorEastAsia"/>
          <w:szCs w:val="21"/>
        </w:rPr>
        <w:t>受限于本协议项下相关条件与条款，</w:t>
      </w:r>
      <w:r>
        <w:rPr>
          <w:rFonts w:asciiTheme="majorEastAsia" w:hAnsiTheme="majorEastAsia" w:eastAsiaTheme="majorEastAsia"/>
          <w:szCs w:val="21"/>
        </w:rPr>
        <w:t>甲方</w:t>
      </w:r>
      <w:r>
        <w:rPr>
          <w:rFonts w:hint="eastAsia" w:asciiTheme="majorEastAsia" w:hAnsiTheme="majorEastAsia" w:eastAsiaTheme="majorEastAsia"/>
          <w:szCs w:val="21"/>
        </w:rPr>
        <w:t>同意本协议项下额度可以</w:t>
      </w:r>
      <w:r>
        <w:rPr>
          <w:rFonts w:asciiTheme="majorEastAsia" w:hAnsiTheme="majorEastAsia" w:eastAsiaTheme="majorEastAsia"/>
          <w:szCs w:val="21"/>
        </w:rPr>
        <w:t>如下方式</w:t>
      </w:r>
      <w:r>
        <w:rPr>
          <w:rFonts w:hint="eastAsia" w:asciiTheme="majorEastAsia" w:hAnsiTheme="majorEastAsia" w:eastAsiaTheme="majorEastAsia"/>
          <w:szCs w:val="21"/>
        </w:rPr>
        <w:t>进行提用</w:t>
      </w:r>
      <w:r>
        <w:rPr>
          <w:rFonts w:asciiTheme="majorEastAsia" w:hAnsiTheme="majorEastAsia" w:eastAsiaTheme="majorEastAsia"/>
          <w:szCs w:val="21"/>
        </w:rPr>
        <w:t>：</w:t>
      </w:r>
    </w:p>
    <w:p w14:paraId="27A61FAB">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自由贷</w:t>
      </w:r>
    </w:p>
    <w:p w14:paraId="2ADC8879">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sym w:font="Wingdings 2" w:char="0052"/>
      </w:r>
      <w:r>
        <w:rPr>
          <w:rFonts w:asciiTheme="majorEastAsia" w:hAnsiTheme="majorEastAsia" w:eastAsiaTheme="majorEastAsia"/>
          <w:szCs w:val="21"/>
        </w:rPr>
        <w:t xml:space="preserve"> 自由票</w:t>
      </w:r>
    </w:p>
    <w:p w14:paraId="471B0511">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人民币非融资性保函</w:t>
      </w:r>
    </w:p>
    <w:p w14:paraId="3407BEC2">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对外融资性保函</w:t>
      </w:r>
    </w:p>
    <w:p w14:paraId="0F40EDD5">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国内信用证</w:t>
      </w:r>
    </w:p>
    <w:p w14:paraId="4577E9BF">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国际信用证</w:t>
      </w:r>
    </w:p>
    <w:p w14:paraId="78C476E7">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商票贴现</w:t>
      </w:r>
    </w:p>
    <w:p w14:paraId="0FD4F142">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商票保贴</w:t>
      </w:r>
    </w:p>
    <w:p w14:paraId="77390303">
      <w:pPr>
        <w:pStyle w:val="9"/>
        <w:spacing w:line="372" w:lineRule="exact"/>
        <w:ind w:left="531" w:firstLine="0" w:firstLineChars="0"/>
        <w:rPr>
          <w:rFonts w:asciiTheme="majorEastAsia" w:hAnsiTheme="majorEastAsia" w:eastAsiaTheme="majorEastAsia"/>
          <w:szCs w:val="21"/>
        </w:rPr>
      </w:pPr>
      <w:r>
        <w:rPr>
          <w:rFonts w:asciiTheme="majorEastAsia" w:hAnsiTheme="majorEastAsia" w:eastAsiaTheme="majorEastAsia"/>
          <w:szCs w:val="21"/>
        </w:rPr>
        <w:t xml:space="preserve">□ </w:t>
      </w:r>
      <w:r>
        <w:rPr>
          <w:rFonts w:hint="eastAsia" w:asciiTheme="majorEastAsia" w:hAnsiTheme="majorEastAsia" w:eastAsiaTheme="majorEastAsia"/>
          <w:szCs w:val="21"/>
        </w:rPr>
        <w:t>其他：_</w:t>
      </w:r>
      <w:r>
        <w:rPr>
          <w:rFonts w:asciiTheme="majorEastAsia" w:hAnsiTheme="majorEastAsia" w:eastAsiaTheme="majorEastAsia"/>
          <w:szCs w:val="21"/>
        </w:rPr>
        <w:t>______________________________</w:t>
      </w:r>
      <w:r>
        <w:rPr>
          <w:rFonts w:hint="eastAsia" w:asciiTheme="majorEastAsia" w:hAnsiTheme="majorEastAsia" w:eastAsiaTheme="majorEastAsia"/>
          <w:szCs w:val="21"/>
          <w:lang w:val="en-US" w:eastAsia="zh-CN"/>
        </w:rPr>
        <w:t>/</w:t>
      </w:r>
      <w:r>
        <w:rPr>
          <w:rFonts w:asciiTheme="majorEastAsia" w:hAnsiTheme="majorEastAsia" w:eastAsiaTheme="majorEastAsia"/>
          <w:szCs w:val="21"/>
        </w:rPr>
        <w:t>________________________________</w:t>
      </w:r>
    </w:p>
    <w:p w14:paraId="581790CA">
      <w:pPr>
        <w:pStyle w:val="9"/>
        <w:numPr>
          <w:ilvl w:val="1"/>
          <w:numId w:val="5"/>
        </w:numPr>
        <w:spacing w:line="372" w:lineRule="exact"/>
        <w:ind w:firstLineChars="0"/>
        <w:rPr>
          <w:rFonts w:eastAsiaTheme="minorEastAsia"/>
          <w:szCs w:val="21"/>
        </w:rPr>
      </w:pPr>
      <w:r>
        <w:rPr>
          <w:rFonts w:hint="eastAsia" w:eastAsiaTheme="minorEastAsia"/>
          <w:b/>
          <w:bCs/>
          <w:szCs w:val="21"/>
        </w:rPr>
        <w:t>额度提用申请</w:t>
      </w:r>
    </w:p>
    <w:p w14:paraId="10BD840B">
      <w:pPr>
        <w:pStyle w:val="9"/>
        <w:numPr>
          <w:ilvl w:val="0"/>
          <w:numId w:val="6"/>
        </w:numPr>
        <w:spacing w:line="372" w:lineRule="exact"/>
        <w:ind w:left="1134" w:hanging="644" w:firstLineChars="0"/>
        <w:rPr>
          <w:rFonts w:eastAsiaTheme="minorEastAsia"/>
          <w:szCs w:val="21"/>
        </w:rPr>
      </w:pPr>
      <w:r>
        <w:rPr>
          <w:rFonts w:eastAsiaTheme="minorEastAsia"/>
          <w:szCs w:val="21"/>
        </w:rPr>
        <w:t>乙方</w:t>
      </w:r>
      <w:r>
        <w:rPr>
          <w:rFonts w:hint="eastAsia" w:eastAsiaTheme="minorEastAsia"/>
          <w:szCs w:val="21"/>
        </w:rPr>
        <w:t>使用本协议项下额度，</w:t>
      </w:r>
      <w:r>
        <w:rPr>
          <w:rFonts w:eastAsiaTheme="minorEastAsia"/>
          <w:szCs w:val="21"/>
        </w:rPr>
        <w:t>应在</w:t>
      </w:r>
      <w:r>
        <w:rPr>
          <w:rFonts w:hint="eastAsia" w:eastAsiaTheme="minorEastAsia"/>
          <w:szCs w:val="21"/>
        </w:rPr>
        <w:t>额度期限</w:t>
      </w:r>
      <w:r>
        <w:rPr>
          <w:rFonts w:eastAsiaTheme="minorEastAsia"/>
          <w:szCs w:val="21"/>
        </w:rPr>
        <w:t>内向甲方提出额度使用申请，甲方不受理</w:t>
      </w:r>
      <w:r>
        <w:rPr>
          <w:rFonts w:hint="eastAsia"/>
          <w:kern w:val="0"/>
          <w:szCs w:val="21"/>
        </w:rPr>
        <w:t>乙方</w:t>
      </w:r>
      <w:r>
        <w:rPr>
          <w:rFonts w:eastAsiaTheme="minorEastAsia"/>
          <w:szCs w:val="21"/>
        </w:rPr>
        <w:t>超过</w:t>
      </w:r>
      <w:r>
        <w:rPr>
          <w:rFonts w:hint="eastAsia" w:eastAsiaTheme="minorEastAsia"/>
          <w:szCs w:val="21"/>
        </w:rPr>
        <w:t>额度期限</w:t>
      </w:r>
      <w:r>
        <w:rPr>
          <w:rFonts w:eastAsiaTheme="minorEastAsia"/>
          <w:szCs w:val="21"/>
        </w:rPr>
        <w:t>到期日提出的额度使用申请，本协议另有约定的除外。</w:t>
      </w:r>
    </w:p>
    <w:p w14:paraId="4393B55C">
      <w:pPr>
        <w:pStyle w:val="9"/>
        <w:numPr>
          <w:ilvl w:val="0"/>
          <w:numId w:val="6"/>
        </w:numPr>
        <w:spacing w:line="372" w:lineRule="exact"/>
        <w:ind w:left="1134" w:hanging="644" w:firstLineChars="0"/>
        <w:rPr>
          <w:rFonts w:eastAsiaTheme="minorEastAsia"/>
          <w:szCs w:val="21"/>
        </w:rPr>
      </w:pPr>
      <w:r>
        <w:rPr>
          <w:rFonts w:eastAsiaTheme="minorEastAsia"/>
          <w:szCs w:val="21"/>
        </w:rPr>
        <w:t>乙方使用</w:t>
      </w:r>
      <w:r>
        <w:rPr>
          <w:rFonts w:hint="eastAsia" w:eastAsiaTheme="minorEastAsia"/>
          <w:szCs w:val="21"/>
        </w:rPr>
        <w:t>授信</w:t>
      </w:r>
      <w:r>
        <w:rPr>
          <w:rFonts w:eastAsiaTheme="minorEastAsia"/>
          <w:szCs w:val="21"/>
        </w:rPr>
        <w:t>须逐笔提交申请，由甲方逐笔审查同意或者由甲方系统自动审核。每次贷款或其他授信的金额、</w:t>
      </w:r>
      <w:r>
        <w:rPr>
          <w:rFonts w:hint="eastAsia" w:eastAsiaTheme="minorEastAsia"/>
          <w:szCs w:val="21"/>
        </w:rPr>
        <w:t>利率、费率、</w:t>
      </w:r>
      <w:r>
        <w:rPr>
          <w:rFonts w:eastAsiaTheme="minorEastAsia"/>
          <w:szCs w:val="21"/>
        </w:rPr>
        <w:t>期限</w:t>
      </w:r>
      <w:r>
        <w:rPr>
          <w:rFonts w:hint="eastAsia" w:eastAsiaTheme="minorEastAsia"/>
          <w:szCs w:val="21"/>
        </w:rPr>
        <w:t>及</w:t>
      </w:r>
      <w:r>
        <w:rPr>
          <w:rFonts w:eastAsiaTheme="minorEastAsia"/>
          <w:szCs w:val="21"/>
        </w:rPr>
        <w:t>具体用途等可由乙方与甲方另签具体</w:t>
      </w:r>
      <w:r>
        <w:rPr>
          <w:rFonts w:hint="eastAsia" w:eastAsiaTheme="minorEastAsia"/>
          <w:szCs w:val="21"/>
        </w:rPr>
        <w:t>单项</w:t>
      </w:r>
      <w:r>
        <w:rPr>
          <w:rFonts w:eastAsiaTheme="minorEastAsia"/>
          <w:szCs w:val="21"/>
        </w:rPr>
        <w:t>业务合同</w:t>
      </w:r>
      <w:r>
        <w:rPr>
          <w:rFonts w:hint="eastAsia" w:eastAsiaTheme="minorEastAsia"/>
          <w:szCs w:val="21"/>
        </w:rPr>
        <w:t>或协议</w:t>
      </w:r>
      <w:r>
        <w:rPr>
          <w:rFonts w:eastAsiaTheme="minorEastAsia"/>
          <w:szCs w:val="21"/>
        </w:rPr>
        <w:t>（</w:t>
      </w:r>
      <w:r>
        <w:rPr>
          <w:rFonts w:hint="eastAsia" w:eastAsiaTheme="minorEastAsia"/>
          <w:szCs w:val="21"/>
        </w:rPr>
        <w:t>或</w:t>
      </w:r>
      <w:r>
        <w:rPr>
          <w:rFonts w:eastAsiaTheme="minorEastAsia"/>
          <w:szCs w:val="21"/>
        </w:rPr>
        <w:t>借据</w:t>
      </w:r>
      <w:r>
        <w:rPr>
          <w:rFonts w:hint="eastAsia" w:eastAsiaTheme="minorEastAsia"/>
          <w:szCs w:val="21"/>
        </w:rPr>
        <w:t>或其他授信凭证</w:t>
      </w:r>
      <w:r>
        <w:rPr>
          <w:rFonts w:eastAsiaTheme="minorEastAsia"/>
          <w:szCs w:val="21"/>
        </w:rPr>
        <w:t>）</w:t>
      </w:r>
      <w:r>
        <w:rPr>
          <w:rFonts w:hint="eastAsia" w:eastAsiaTheme="minorEastAsia"/>
          <w:szCs w:val="21"/>
        </w:rPr>
        <w:t>，</w:t>
      </w:r>
      <w:r>
        <w:rPr>
          <w:rFonts w:eastAsiaTheme="minorEastAsia"/>
          <w:szCs w:val="21"/>
        </w:rPr>
        <w:t>或由乙方向甲方提交并经甲方接受的相关业务申请书予以约定。</w:t>
      </w:r>
    </w:p>
    <w:p w14:paraId="5770CB71">
      <w:pPr>
        <w:pStyle w:val="9"/>
        <w:numPr>
          <w:ilvl w:val="0"/>
          <w:numId w:val="6"/>
        </w:numPr>
        <w:spacing w:line="372" w:lineRule="exact"/>
        <w:ind w:left="1134" w:hanging="644" w:firstLineChars="0"/>
        <w:rPr>
          <w:rFonts w:eastAsiaTheme="minorEastAsia"/>
          <w:szCs w:val="21"/>
        </w:rPr>
      </w:pPr>
      <w:r>
        <w:rPr>
          <w:rFonts w:hint="eastAsia" w:eastAsiaTheme="minorEastAsia"/>
          <w:szCs w:val="21"/>
        </w:rPr>
        <w:t>授信</w:t>
      </w:r>
      <w:r>
        <w:rPr>
          <w:rFonts w:eastAsiaTheme="minorEastAsia"/>
          <w:szCs w:val="21"/>
        </w:rPr>
        <w:t>额度内每笔贷款或其他</w:t>
      </w:r>
      <w:r>
        <w:rPr>
          <w:rFonts w:hint="eastAsia" w:eastAsiaTheme="minorEastAsia"/>
          <w:szCs w:val="21"/>
        </w:rPr>
        <w:t>授信均</w:t>
      </w:r>
      <w:r>
        <w:rPr>
          <w:rFonts w:eastAsiaTheme="minorEastAsia"/>
          <w:szCs w:val="21"/>
        </w:rPr>
        <w:t>应根据乙方</w:t>
      </w:r>
      <w:r>
        <w:rPr>
          <w:rFonts w:hint="eastAsia" w:eastAsiaTheme="minorEastAsia"/>
          <w:szCs w:val="21"/>
        </w:rPr>
        <w:t>的经营需要和甲方业务管理规定</w:t>
      </w:r>
      <w:r>
        <w:rPr>
          <w:rFonts w:hint="eastAsia"/>
          <w:kern w:val="0"/>
          <w:szCs w:val="21"/>
        </w:rPr>
        <w:t>具体</w:t>
      </w:r>
      <w:r>
        <w:rPr>
          <w:rFonts w:hint="eastAsia" w:eastAsiaTheme="minorEastAsia"/>
          <w:szCs w:val="21"/>
        </w:rPr>
        <w:t>确定使用期间，各具体业务到期日可以晚于额度期限到期日。</w:t>
      </w:r>
    </w:p>
    <w:p w14:paraId="50DCBC63">
      <w:pPr>
        <w:pStyle w:val="9"/>
        <w:numPr>
          <w:ilvl w:val="0"/>
          <w:numId w:val="6"/>
        </w:numPr>
        <w:spacing w:line="372" w:lineRule="exact"/>
        <w:ind w:left="1134" w:hanging="644" w:firstLineChars="0"/>
        <w:rPr>
          <w:rFonts w:eastAsiaTheme="minorEastAsia"/>
          <w:szCs w:val="21"/>
        </w:rPr>
      </w:pPr>
      <w:r>
        <w:rPr>
          <w:rFonts w:hint="eastAsia" w:eastAsiaTheme="minorEastAsia"/>
          <w:szCs w:val="21"/>
        </w:rPr>
        <w:t>受限于本协议中对乙方授信额度的要求，乙方申请提用额度时应已根据本协议约定及甲方要求履行相应的担保提供义务（如需）。</w:t>
      </w:r>
    </w:p>
    <w:p w14:paraId="54E48D11">
      <w:pPr>
        <w:pStyle w:val="9"/>
        <w:numPr>
          <w:ilvl w:val="0"/>
          <w:numId w:val="6"/>
        </w:numPr>
        <w:spacing w:line="372" w:lineRule="exact"/>
        <w:ind w:left="1134" w:hanging="644" w:firstLineChars="0"/>
        <w:rPr>
          <w:b/>
          <w:bCs/>
          <w:kern w:val="0"/>
          <w:szCs w:val="21"/>
        </w:rPr>
      </w:pPr>
      <w:r>
        <w:rPr>
          <w:rFonts w:hint="eastAsia"/>
          <w:b/>
          <w:bCs/>
          <w:kern w:val="0"/>
          <w:szCs w:val="21"/>
        </w:rPr>
        <w:t>甲乙双方签订本协议并不构成甲方对乙方的授信承诺。额度项下具体授信业务，乙方按上述要求逐笔向甲方提出申请后，甲方有权自主决定是否向其发放额度项下单笔授信。</w:t>
      </w:r>
    </w:p>
    <w:p w14:paraId="6F06BF90">
      <w:pPr>
        <w:pStyle w:val="9"/>
        <w:numPr>
          <w:ilvl w:val="1"/>
          <w:numId w:val="5"/>
        </w:numPr>
        <w:spacing w:line="372" w:lineRule="exact"/>
        <w:ind w:firstLineChars="0"/>
        <w:rPr>
          <w:rFonts w:eastAsiaTheme="minorEastAsia"/>
          <w:b/>
          <w:bCs/>
          <w:szCs w:val="21"/>
        </w:rPr>
      </w:pPr>
      <w:r>
        <w:rPr>
          <w:rFonts w:hint="eastAsia" w:eastAsiaTheme="minorEastAsia"/>
          <w:b/>
          <w:bCs/>
          <w:szCs w:val="21"/>
        </w:rPr>
        <w:t>以资产池作为出账方式的</w:t>
      </w:r>
      <w:r>
        <w:rPr>
          <w:rFonts w:hint="eastAsia" w:eastAsiaTheme="minorEastAsia"/>
          <w:szCs w:val="21"/>
        </w:rPr>
        <w:t>授信额度</w:t>
      </w:r>
      <w:r>
        <w:rPr>
          <w:rFonts w:hint="eastAsia" w:eastAsiaTheme="minorEastAsia"/>
          <w:b/>
          <w:bCs/>
          <w:szCs w:val="21"/>
        </w:rPr>
        <w:t>使用的先决条件</w:t>
      </w:r>
    </w:p>
    <w:p w14:paraId="2E33614E">
      <w:pPr>
        <w:pStyle w:val="9"/>
        <w:spacing w:line="372" w:lineRule="exact"/>
        <w:ind w:left="531" w:firstLine="0" w:firstLineChars="0"/>
        <w:rPr>
          <w:b/>
          <w:kern w:val="0"/>
          <w:szCs w:val="21"/>
        </w:rPr>
      </w:pPr>
      <w:r>
        <w:rPr>
          <w:rFonts w:hint="eastAsia" w:ascii="宋体" w:hAnsi="宋体"/>
          <w:b/>
          <w:kern w:val="0"/>
          <w:szCs w:val="21"/>
        </w:rPr>
        <w:t>甲方在额度每次使用前均有权审查下列事项是否已满足，并根据审查情况自行决定是否允许乙方使用本协议项下授信额度，但此类审查不构成甲方的义务：</w:t>
      </w:r>
    </w:p>
    <w:p w14:paraId="5E3B5F9D">
      <w:pPr>
        <w:pStyle w:val="9"/>
        <w:numPr>
          <w:ilvl w:val="0"/>
          <w:numId w:val="7"/>
        </w:numPr>
        <w:spacing w:line="372" w:lineRule="exact"/>
        <w:ind w:left="1134" w:hanging="644" w:firstLineChars="0"/>
        <w:rPr>
          <w:kern w:val="0"/>
          <w:szCs w:val="21"/>
        </w:rPr>
      </w:pPr>
      <w:r>
        <w:rPr>
          <w:rFonts w:hint="eastAsia"/>
          <w:kern w:val="0"/>
          <w:szCs w:val="21"/>
        </w:rPr>
        <w:t>乙方已按照有关法律法规的规定，办妥与本协议项下授信有关的政府许可、批准、登记、交付等法定手续（如有）；</w:t>
      </w:r>
    </w:p>
    <w:p w14:paraId="277A83F2">
      <w:pPr>
        <w:pStyle w:val="9"/>
        <w:numPr>
          <w:ilvl w:val="0"/>
          <w:numId w:val="7"/>
        </w:numPr>
        <w:spacing w:line="372" w:lineRule="exact"/>
        <w:ind w:left="1134" w:hanging="644" w:firstLineChars="0"/>
        <w:rPr>
          <w:kern w:val="0"/>
          <w:szCs w:val="21"/>
        </w:rPr>
      </w:pPr>
      <w:r>
        <w:rPr>
          <w:rFonts w:hint="eastAsia"/>
          <w:kern w:val="0"/>
          <w:szCs w:val="21"/>
        </w:rPr>
        <w:t>本协议项下有关的担保合同及担保权已生效（如有）；且乙方所申请动用的授信额度已相应取得经甲方认可的担保品之担保权；</w:t>
      </w:r>
    </w:p>
    <w:p w14:paraId="3737F764">
      <w:pPr>
        <w:pStyle w:val="9"/>
        <w:numPr>
          <w:ilvl w:val="0"/>
          <w:numId w:val="7"/>
        </w:numPr>
        <w:spacing w:line="372" w:lineRule="exact"/>
        <w:ind w:left="1134" w:hanging="644" w:firstLineChars="0"/>
        <w:rPr>
          <w:kern w:val="0"/>
          <w:szCs w:val="21"/>
        </w:rPr>
      </w:pPr>
      <w:r>
        <w:rPr>
          <w:rFonts w:hint="eastAsia"/>
          <w:kern w:val="0"/>
          <w:szCs w:val="21"/>
        </w:rPr>
        <w:t>乙方已付清与本协议有关的费用（如有）；</w:t>
      </w:r>
    </w:p>
    <w:p w14:paraId="7B19BECD">
      <w:pPr>
        <w:pStyle w:val="9"/>
        <w:numPr>
          <w:ilvl w:val="0"/>
          <w:numId w:val="7"/>
        </w:numPr>
        <w:spacing w:line="372" w:lineRule="exact"/>
        <w:ind w:left="1134" w:hanging="644" w:firstLineChars="0"/>
        <w:rPr>
          <w:kern w:val="0"/>
          <w:szCs w:val="21"/>
        </w:rPr>
      </w:pPr>
      <w:r>
        <w:rPr>
          <w:rFonts w:hint="eastAsia"/>
          <w:kern w:val="0"/>
          <w:szCs w:val="21"/>
        </w:rPr>
        <w:t>乙方已满足了本协议约定的授信条件；</w:t>
      </w:r>
    </w:p>
    <w:p w14:paraId="5D4FEF9A">
      <w:pPr>
        <w:pStyle w:val="9"/>
        <w:numPr>
          <w:ilvl w:val="0"/>
          <w:numId w:val="7"/>
        </w:numPr>
        <w:spacing w:line="372" w:lineRule="exact"/>
        <w:ind w:left="1134" w:hanging="644" w:firstLineChars="0"/>
        <w:rPr>
          <w:kern w:val="0"/>
          <w:szCs w:val="21"/>
        </w:rPr>
      </w:pPr>
      <w:r>
        <w:rPr>
          <w:rFonts w:hint="eastAsia"/>
          <w:kern w:val="0"/>
          <w:szCs w:val="21"/>
        </w:rPr>
        <w:t>乙方及担保人（如有）经营和财务状况未发生不利变化；</w:t>
      </w:r>
    </w:p>
    <w:p w14:paraId="3C3A503C">
      <w:pPr>
        <w:pStyle w:val="9"/>
        <w:numPr>
          <w:ilvl w:val="0"/>
          <w:numId w:val="7"/>
        </w:numPr>
        <w:spacing w:line="372" w:lineRule="exact"/>
        <w:ind w:left="1134" w:hanging="644" w:firstLineChars="0"/>
        <w:rPr>
          <w:kern w:val="0"/>
          <w:szCs w:val="21"/>
        </w:rPr>
      </w:pPr>
      <w:r>
        <w:rPr>
          <w:rFonts w:hint="eastAsia"/>
          <w:kern w:val="0"/>
          <w:szCs w:val="21"/>
        </w:rPr>
        <w:t>乙方的还款意愿和担保人（如有）担保意愿未发生变化；</w:t>
      </w:r>
    </w:p>
    <w:p w14:paraId="5E86E679">
      <w:pPr>
        <w:pStyle w:val="9"/>
        <w:numPr>
          <w:ilvl w:val="0"/>
          <w:numId w:val="7"/>
        </w:numPr>
        <w:spacing w:line="372" w:lineRule="exact"/>
        <w:ind w:left="1134" w:hanging="644" w:firstLineChars="0"/>
        <w:rPr>
          <w:kern w:val="0"/>
          <w:szCs w:val="21"/>
        </w:rPr>
      </w:pPr>
      <w:r>
        <w:rPr>
          <w:rFonts w:hint="eastAsia"/>
          <w:kern w:val="0"/>
          <w:szCs w:val="21"/>
        </w:rPr>
        <w:t>乙方未发生违反本协议约定或违反乙方与甲方所签署任何其他合同文件约定之情形；</w:t>
      </w:r>
    </w:p>
    <w:p w14:paraId="4815050F">
      <w:pPr>
        <w:pStyle w:val="9"/>
        <w:numPr>
          <w:ilvl w:val="0"/>
          <w:numId w:val="7"/>
        </w:numPr>
        <w:spacing w:line="372" w:lineRule="exact"/>
        <w:ind w:left="1134" w:hanging="644" w:firstLineChars="0"/>
        <w:rPr>
          <w:kern w:val="0"/>
          <w:szCs w:val="21"/>
        </w:rPr>
      </w:pPr>
      <w:r>
        <w:rPr>
          <w:rFonts w:hint="eastAsia"/>
          <w:kern w:val="0"/>
          <w:szCs w:val="21"/>
        </w:rPr>
        <w:t>乙方未发生可能影响甲方、乙方继续履行本协议之重大不利事件。</w:t>
      </w:r>
    </w:p>
    <w:p w14:paraId="270D0FFB">
      <w:pPr>
        <w:pStyle w:val="9"/>
        <w:numPr>
          <w:ilvl w:val="1"/>
          <w:numId w:val="5"/>
        </w:numPr>
        <w:spacing w:line="372" w:lineRule="exact"/>
        <w:ind w:firstLineChars="0"/>
        <w:rPr>
          <w:kern w:val="0"/>
          <w:szCs w:val="21"/>
        </w:rPr>
      </w:pPr>
      <w:r>
        <w:rPr>
          <w:rFonts w:hint="eastAsia"/>
          <w:kern w:val="0"/>
          <w:szCs w:val="21"/>
        </w:rPr>
        <w:t>甲方有权根据汇率变化调整额度金额或要求乙方追加担保。</w:t>
      </w:r>
    </w:p>
    <w:p w14:paraId="5FD5C2D4">
      <w:pPr>
        <w:pStyle w:val="9"/>
        <w:numPr>
          <w:ilvl w:val="1"/>
          <w:numId w:val="5"/>
        </w:numPr>
        <w:spacing w:line="372" w:lineRule="exact"/>
        <w:ind w:firstLineChars="0"/>
        <w:rPr>
          <w:b/>
          <w:bCs/>
          <w:kern w:val="0"/>
          <w:szCs w:val="21"/>
        </w:rPr>
      </w:pPr>
      <w:r>
        <w:rPr>
          <w:rFonts w:hint="eastAsia"/>
          <w:b/>
          <w:bCs/>
          <w:kern w:val="0"/>
          <w:szCs w:val="21"/>
        </w:rPr>
        <w:t>甲方有权对资产池出账项下具体授信的使用、授信资金的去向进行监管，乙方应予以配合。</w:t>
      </w:r>
    </w:p>
    <w:p w14:paraId="6A3A26D3">
      <w:pPr>
        <w:pStyle w:val="9"/>
        <w:numPr>
          <w:ilvl w:val="1"/>
          <w:numId w:val="5"/>
        </w:numPr>
        <w:spacing w:line="372" w:lineRule="exact"/>
        <w:ind w:firstLineChars="0"/>
        <w:rPr>
          <w:b/>
          <w:kern w:val="0"/>
          <w:szCs w:val="21"/>
        </w:rPr>
      </w:pPr>
      <w:r>
        <w:rPr>
          <w:rFonts w:hint="eastAsia"/>
          <w:b/>
          <w:kern w:val="0"/>
          <w:szCs w:val="21"/>
        </w:rPr>
        <w:t>额度使用前或额度使用过程中，如因国家宏观调控政策变化、甲方监管部门对甲方</w:t>
      </w:r>
      <w:r>
        <w:rPr>
          <w:rFonts w:hint="eastAsia" w:eastAsiaTheme="minorEastAsia"/>
          <w:b/>
          <w:bCs/>
          <w:szCs w:val="21"/>
        </w:rPr>
        <w:t>提出</w:t>
      </w:r>
      <w:r>
        <w:rPr>
          <w:rFonts w:hint="eastAsia"/>
          <w:b/>
          <w:kern w:val="0"/>
          <w:szCs w:val="21"/>
        </w:rPr>
        <w:t>控制信贷规模或信贷投向的要求及</w:t>
      </w:r>
      <w:r>
        <w:rPr>
          <w:b/>
          <w:kern w:val="0"/>
          <w:szCs w:val="21"/>
        </w:rPr>
        <w:t>/</w:t>
      </w:r>
      <w:r>
        <w:rPr>
          <w:rFonts w:hint="eastAsia"/>
          <w:b/>
          <w:kern w:val="0"/>
          <w:szCs w:val="21"/>
        </w:rPr>
        <w:t>或其他非因甲方原因致使甲方无法继续让乙方使用本额度，甲方有权暂停及</w:t>
      </w:r>
      <w:r>
        <w:rPr>
          <w:b/>
          <w:kern w:val="0"/>
          <w:szCs w:val="21"/>
        </w:rPr>
        <w:t>/</w:t>
      </w:r>
      <w:r>
        <w:rPr>
          <w:rFonts w:hint="eastAsia"/>
          <w:b/>
          <w:kern w:val="0"/>
          <w:szCs w:val="21"/>
        </w:rPr>
        <w:t>或终止本额度使用，并有权解除本协议及</w:t>
      </w:r>
      <w:r>
        <w:rPr>
          <w:b/>
          <w:kern w:val="0"/>
          <w:szCs w:val="21"/>
        </w:rPr>
        <w:t>/</w:t>
      </w:r>
      <w:r>
        <w:rPr>
          <w:rFonts w:hint="eastAsia"/>
          <w:b/>
          <w:kern w:val="0"/>
          <w:szCs w:val="21"/>
        </w:rPr>
        <w:t>或要求乙方提前归还全部或部分额度项下债务，乙方对此无任何异议。</w:t>
      </w:r>
    </w:p>
    <w:p w14:paraId="060ED74D">
      <w:pPr>
        <w:autoSpaceDE w:val="0"/>
        <w:autoSpaceDN w:val="0"/>
        <w:spacing w:line="372" w:lineRule="exact"/>
        <w:ind w:firstLine="420" w:firstLineChars="200"/>
        <w:rPr>
          <w:rFonts w:eastAsiaTheme="minorEastAsia"/>
          <w:sz w:val="21"/>
          <w:szCs w:val="21"/>
        </w:rPr>
      </w:pPr>
    </w:p>
    <w:p w14:paraId="1AF1816C">
      <w:pPr>
        <w:pStyle w:val="9"/>
        <w:numPr>
          <w:ilvl w:val="0"/>
          <w:numId w:val="1"/>
        </w:numPr>
        <w:spacing w:line="372" w:lineRule="exact"/>
        <w:ind w:firstLineChars="0"/>
        <w:jc w:val="center"/>
        <w:outlineLvl w:val="0"/>
        <w:rPr>
          <w:b/>
          <w:bCs/>
          <w:kern w:val="0"/>
          <w:szCs w:val="21"/>
        </w:rPr>
      </w:pPr>
      <w:r>
        <w:rPr>
          <w:rFonts w:hint="eastAsia"/>
          <w:b/>
          <w:bCs/>
          <w:kern w:val="0"/>
          <w:szCs w:val="21"/>
        </w:rPr>
        <w:t>资产池的管理</w:t>
      </w:r>
    </w:p>
    <w:p w14:paraId="310E5BA8">
      <w:pPr>
        <w:pStyle w:val="9"/>
        <w:numPr>
          <w:ilvl w:val="1"/>
          <w:numId w:val="8"/>
        </w:numPr>
        <w:spacing w:line="372" w:lineRule="exact"/>
        <w:ind w:firstLineChars="0"/>
        <w:rPr>
          <w:rFonts w:asciiTheme="majorEastAsia" w:hAnsiTheme="majorEastAsia" w:eastAsiaTheme="majorEastAsia"/>
          <w:szCs w:val="21"/>
        </w:rPr>
      </w:pPr>
      <w:r>
        <w:rPr>
          <w:rFonts w:hint="eastAsia" w:eastAsiaTheme="minorEastAsia"/>
          <w:b/>
          <w:bCs/>
          <w:szCs w:val="21"/>
        </w:rPr>
        <w:t>关于担保资产池</w:t>
      </w:r>
    </w:p>
    <w:p w14:paraId="7B0B960A">
      <w:pPr>
        <w:pStyle w:val="9"/>
        <w:numPr>
          <w:ilvl w:val="2"/>
          <w:numId w:val="8"/>
        </w:numPr>
        <w:spacing w:line="372" w:lineRule="exact"/>
        <w:ind w:left="546" w:hanging="546" w:firstLineChars="0"/>
        <w:rPr>
          <w:rFonts w:eastAsiaTheme="minorEastAsia"/>
          <w:szCs w:val="21"/>
        </w:rPr>
      </w:pPr>
      <w:r>
        <w:rPr>
          <w:rFonts w:hint="eastAsia" w:eastAsiaTheme="minorEastAsia"/>
          <w:szCs w:val="21"/>
        </w:rPr>
        <w:t>乙方依据本协议约定，以其合法持有的各类资产（包括但不限于存款、存单、银行承兑汇票等）为乙方在本协议项下所欠甲方的债务提供担保，并根据资产池相关约定，由各入池担保资产共同形成担保资产池。担保资产池内具体入池担保资产的内容，以甲方系统记录和显示的担保资产池项下担保资产清单为准。</w:t>
      </w:r>
    </w:p>
    <w:p w14:paraId="26006030">
      <w:pPr>
        <w:pStyle w:val="9"/>
        <w:numPr>
          <w:ilvl w:val="2"/>
          <w:numId w:val="8"/>
        </w:numPr>
        <w:spacing w:line="372" w:lineRule="exact"/>
        <w:ind w:left="546" w:hanging="546" w:firstLineChars="0"/>
        <w:rPr>
          <w:rFonts w:eastAsiaTheme="minorEastAsia"/>
          <w:szCs w:val="21"/>
        </w:rPr>
      </w:pPr>
      <w:r>
        <w:rPr>
          <w:rFonts w:hint="eastAsia" w:eastAsiaTheme="minorEastAsia"/>
          <w:szCs w:val="21"/>
        </w:rPr>
        <w:t>本协议履行过程中，甲方（或甲方系统）将基于对乙方所提供入池担保资产情况不时进行综合评估，并进而不时得出乙方的资产池出账可用限额（具体以甲方或甲方系统届时显示或通知为准）；乙方申请通过本协议项下资产池出账提用授信额度时，除遵守本协议其他授信条件外，还应受限于前述资产池出账可用限额。</w:t>
      </w:r>
    </w:p>
    <w:p w14:paraId="798875B7">
      <w:pPr>
        <w:pStyle w:val="9"/>
        <w:numPr>
          <w:ilvl w:val="1"/>
          <w:numId w:val="8"/>
        </w:numPr>
        <w:spacing w:line="372" w:lineRule="exact"/>
        <w:ind w:firstLineChars="0"/>
        <w:rPr>
          <w:rFonts w:asciiTheme="majorEastAsia" w:hAnsiTheme="majorEastAsia" w:eastAsiaTheme="majorEastAsia"/>
          <w:b/>
          <w:bCs/>
          <w:szCs w:val="21"/>
        </w:rPr>
      </w:pPr>
      <w:r>
        <w:rPr>
          <w:rFonts w:hint="eastAsia" w:asciiTheme="majorEastAsia" w:hAnsiTheme="majorEastAsia" w:eastAsiaTheme="majorEastAsia"/>
          <w:b/>
          <w:bCs/>
          <w:szCs w:val="21"/>
        </w:rPr>
        <w:t>关于其他资产的管理</w:t>
      </w:r>
    </w:p>
    <w:p w14:paraId="479B01E5">
      <w:pPr>
        <w:pStyle w:val="9"/>
        <w:numPr>
          <w:ilvl w:val="2"/>
          <w:numId w:val="9"/>
        </w:numPr>
        <w:spacing w:line="372" w:lineRule="exact"/>
        <w:ind w:left="560" w:hanging="574" w:firstLineChars="0"/>
        <w:rPr>
          <w:rFonts w:eastAsiaTheme="majorEastAsia"/>
          <w:szCs w:val="21"/>
        </w:rPr>
      </w:pPr>
      <w:r>
        <w:rPr>
          <w:rFonts w:hint="eastAsia" w:eastAsiaTheme="majorEastAsia"/>
          <w:szCs w:val="21"/>
        </w:rPr>
        <w:t>除第4</w:t>
      </w:r>
      <w:r>
        <w:rPr>
          <w:rFonts w:eastAsiaTheme="majorEastAsia"/>
          <w:szCs w:val="21"/>
        </w:rPr>
        <w:t>.1</w:t>
      </w:r>
      <w:r>
        <w:rPr>
          <w:rFonts w:hint="eastAsia" w:eastAsiaTheme="majorEastAsia"/>
          <w:szCs w:val="21"/>
        </w:rPr>
        <w:t>条所述担保资产池外，在本协议履行过程中，乙方还可使用甲方所提供线上系统的技术功能，对其在甲方或其他方处（受限于甲方系统能力支持）所合法拥有或持有的其他资产的信息进行统一管理，</w:t>
      </w:r>
      <w:r>
        <w:rPr>
          <w:rFonts w:eastAsiaTheme="majorEastAsia"/>
          <w:szCs w:val="21"/>
        </w:rPr>
        <w:t>包括但不限于其在平安银行或其他方处的各类存款、票据</w:t>
      </w:r>
      <w:r>
        <w:rPr>
          <w:rFonts w:hint="eastAsia" w:eastAsiaTheme="majorEastAsia"/>
          <w:szCs w:val="21"/>
        </w:rPr>
        <w:t>及</w:t>
      </w:r>
      <w:r>
        <w:rPr>
          <w:rFonts w:eastAsiaTheme="majorEastAsia"/>
          <w:szCs w:val="21"/>
        </w:rPr>
        <w:t>/</w:t>
      </w:r>
      <w:r>
        <w:rPr>
          <w:rFonts w:hint="eastAsia" w:eastAsiaTheme="majorEastAsia"/>
          <w:szCs w:val="21"/>
        </w:rPr>
        <w:t>或其他权益等，但不包括已纳入本协议所述担保资产池的部分。乙方可根据实际情况不时更新此等资产信息，并向甲方提交相关证明材料（如需）。</w:t>
      </w:r>
    </w:p>
    <w:p w14:paraId="29BDEA8B">
      <w:pPr>
        <w:pStyle w:val="9"/>
        <w:numPr>
          <w:ilvl w:val="2"/>
          <w:numId w:val="9"/>
        </w:numPr>
        <w:spacing w:line="372" w:lineRule="exact"/>
        <w:ind w:left="560" w:hanging="574" w:firstLineChars="0"/>
        <w:rPr>
          <w:rFonts w:eastAsiaTheme="majorEastAsia"/>
          <w:szCs w:val="21"/>
        </w:rPr>
      </w:pPr>
      <w:r>
        <w:rPr>
          <w:rFonts w:hint="eastAsia" w:eastAsiaTheme="majorEastAsia"/>
          <w:szCs w:val="21"/>
        </w:rPr>
        <w:t>就前款所述有关其他资产的管理，乙方可登录甲方系统查询乙方所管理资产池项下资产清单</w:t>
      </w:r>
      <w:r>
        <w:rPr>
          <w:rFonts w:hint="eastAsia" w:eastAsiaTheme="minorEastAsia"/>
          <w:szCs w:val="21"/>
        </w:rPr>
        <w:t>（</w:t>
      </w:r>
      <w:r>
        <w:rPr>
          <w:rFonts w:eastAsiaTheme="minorEastAsia"/>
          <w:szCs w:val="21"/>
        </w:rPr>
        <w:t>具体</w:t>
      </w:r>
      <w:r>
        <w:rPr>
          <w:rFonts w:hint="eastAsia" w:eastAsiaTheme="minorEastAsia"/>
          <w:szCs w:val="21"/>
        </w:rPr>
        <w:t>以甲方或甲方系统届时显示或通知</w:t>
      </w:r>
      <w:r>
        <w:rPr>
          <w:rFonts w:eastAsiaTheme="minorEastAsia"/>
          <w:szCs w:val="21"/>
        </w:rPr>
        <w:t>为准</w:t>
      </w:r>
      <w:r>
        <w:rPr>
          <w:rFonts w:hint="eastAsia" w:eastAsiaTheme="minorEastAsia"/>
          <w:szCs w:val="21"/>
        </w:rPr>
        <w:t>）</w:t>
      </w:r>
      <w:r>
        <w:rPr>
          <w:rFonts w:hint="eastAsia" w:eastAsiaTheme="majorEastAsia"/>
          <w:szCs w:val="21"/>
        </w:rPr>
        <w:t>。</w:t>
      </w:r>
    </w:p>
    <w:p w14:paraId="7463ACED">
      <w:pPr>
        <w:pStyle w:val="9"/>
        <w:numPr>
          <w:ilvl w:val="2"/>
          <w:numId w:val="9"/>
        </w:numPr>
        <w:spacing w:line="372" w:lineRule="exact"/>
        <w:ind w:left="560" w:hanging="574" w:firstLineChars="0"/>
        <w:rPr>
          <w:rFonts w:eastAsiaTheme="majorEastAsia"/>
          <w:b/>
          <w:bCs/>
          <w:szCs w:val="21"/>
        </w:rPr>
      </w:pPr>
      <w:r>
        <w:rPr>
          <w:rFonts w:hint="eastAsia" w:eastAsiaTheme="majorEastAsia"/>
          <w:b/>
          <w:bCs/>
          <w:szCs w:val="21"/>
        </w:rPr>
        <w:t>为免疑义，本协议第</w:t>
      </w:r>
      <w:r>
        <w:rPr>
          <w:rFonts w:eastAsiaTheme="majorEastAsia"/>
          <w:b/>
          <w:bCs/>
          <w:szCs w:val="21"/>
        </w:rPr>
        <w:t>4.2</w:t>
      </w:r>
      <w:r>
        <w:rPr>
          <w:rFonts w:hint="eastAsia" w:eastAsiaTheme="majorEastAsia"/>
          <w:b/>
          <w:bCs/>
          <w:szCs w:val="21"/>
        </w:rPr>
        <w:t>条所提及有关对其他资产管理的业务中，甲方仅系提供有关信息的管理服务，乙方列入管理的资产并不实际交付甲方或为甲方控制，该等资产的信息由乙方自行上传或确认，甲方亦无义务核证；如乙方申请将此处关于其他资产管理项下特定信息项下资产转入相关担保资产池、用于提供担保的，其应根据甲方要求另行提供相关资产权属证明、签署相关担保文件（如需）及办理有关担保设立手续（如需）。</w:t>
      </w:r>
    </w:p>
    <w:p w14:paraId="46AA602B">
      <w:pPr>
        <w:pStyle w:val="9"/>
        <w:numPr>
          <w:ilvl w:val="2"/>
          <w:numId w:val="9"/>
        </w:numPr>
        <w:spacing w:line="372" w:lineRule="exact"/>
        <w:ind w:left="560" w:hanging="574" w:firstLineChars="0"/>
        <w:rPr>
          <w:rFonts w:asciiTheme="majorEastAsia" w:hAnsiTheme="majorEastAsia" w:eastAsiaTheme="majorEastAsia"/>
          <w:b/>
          <w:bCs/>
          <w:szCs w:val="21"/>
        </w:rPr>
      </w:pPr>
      <w:r>
        <w:rPr>
          <w:rFonts w:eastAsiaTheme="minorEastAsia"/>
          <w:b/>
          <w:bCs/>
          <w:szCs w:val="21"/>
        </w:rPr>
        <w:t>为免疑义，</w:t>
      </w:r>
      <w:r>
        <w:rPr>
          <w:rFonts w:eastAsiaTheme="majorEastAsia"/>
          <w:b/>
          <w:bCs/>
          <w:szCs w:val="21"/>
        </w:rPr>
        <w:t>乙方</w:t>
      </w:r>
      <w:r>
        <w:rPr>
          <w:rFonts w:hint="eastAsia" w:eastAsiaTheme="majorEastAsia"/>
          <w:b/>
          <w:bCs/>
          <w:szCs w:val="21"/>
        </w:rPr>
        <w:t>依据本协议第</w:t>
      </w:r>
      <w:r>
        <w:rPr>
          <w:rFonts w:eastAsiaTheme="majorEastAsia"/>
          <w:b/>
          <w:bCs/>
          <w:szCs w:val="21"/>
        </w:rPr>
        <w:t>4.2</w:t>
      </w:r>
      <w:r>
        <w:rPr>
          <w:rFonts w:hint="eastAsia" w:eastAsiaTheme="majorEastAsia"/>
          <w:b/>
          <w:bCs/>
          <w:szCs w:val="21"/>
        </w:rPr>
        <w:t>条管理其他资产而向甲方所汇总和提交之</w:t>
      </w:r>
      <w:r>
        <w:rPr>
          <w:rFonts w:eastAsiaTheme="majorEastAsia"/>
          <w:b/>
          <w:bCs/>
          <w:szCs w:val="21"/>
        </w:rPr>
        <w:t>信息，仅为便利自身信息管理；</w:t>
      </w:r>
      <w:r>
        <w:rPr>
          <w:rFonts w:hint="eastAsia" w:eastAsiaTheme="majorEastAsia"/>
          <w:b/>
          <w:bCs/>
          <w:szCs w:val="21"/>
        </w:rPr>
        <w:t>甲方系统</w:t>
      </w:r>
      <w:r>
        <w:rPr>
          <w:rFonts w:eastAsiaTheme="majorEastAsia"/>
          <w:b/>
          <w:bCs/>
          <w:szCs w:val="21"/>
        </w:rPr>
        <w:t>仅</w:t>
      </w:r>
      <w:r>
        <w:rPr>
          <w:rFonts w:hint="eastAsia" w:eastAsiaTheme="majorEastAsia"/>
          <w:b/>
          <w:bCs/>
          <w:szCs w:val="21"/>
        </w:rPr>
        <w:t>提供信息</w:t>
      </w:r>
      <w:r>
        <w:rPr>
          <w:rFonts w:eastAsiaTheme="majorEastAsia"/>
          <w:b/>
          <w:bCs/>
          <w:szCs w:val="21"/>
        </w:rPr>
        <w:t>管理功能，</w:t>
      </w:r>
      <w:r>
        <w:rPr>
          <w:rFonts w:hint="eastAsia" w:eastAsiaTheme="majorEastAsia"/>
          <w:b/>
          <w:bCs/>
          <w:szCs w:val="21"/>
        </w:rPr>
        <w:t>乙方使用甲方系统所</w:t>
      </w:r>
      <w:r>
        <w:rPr>
          <w:rFonts w:eastAsiaTheme="majorEastAsia"/>
          <w:b/>
          <w:bCs/>
          <w:szCs w:val="21"/>
        </w:rPr>
        <w:t>管</w:t>
      </w:r>
      <w:r>
        <w:rPr>
          <w:rFonts w:hint="eastAsia" w:asciiTheme="majorEastAsia" w:hAnsiTheme="majorEastAsia" w:eastAsiaTheme="majorEastAsia"/>
          <w:b/>
          <w:bCs/>
          <w:szCs w:val="21"/>
        </w:rPr>
        <w:t>理的其他资产数量的多少及资产的价值本身不影响本协议项下授信额度及</w:t>
      </w:r>
      <w:r>
        <w:rPr>
          <w:rFonts w:asciiTheme="majorEastAsia" w:hAnsiTheme="majorEastAsia" w:eastAsiaTheme="majorEastAsia"/>
          <w:b/>
          <w:bCs/>
          <w:szCs w:val="21"/>
        </w:rPr>
        <w:t>/或可用额度。</w:t>
      </w:r>
    </w:p>
    <w:p w14:paraId="61C0BCB6">
      <w:pPr>
        <w:tabs>
          <w:tab w:val="left" w:pos="1800"/>
        </w:tabs>
        <w:autoSpaceDE w:val="0"/>
        <w:autoSpaceDN w:val="0"/>
        <w:spacing w:line="372" w:lineRule="exact"/>
        <w:rPr>
          <w:rFonts w:eastAsiaTheme="minorEastAsia"/>
          <w:sz w:val="21"/>
          <w:szCs w:val="21"/>
        </w:rPr>
      </w:pPr>
    </w:p>
    <w:p w14:paraId="6DB15142">
      <w:pPr>
        <w:pStyle w:val="9"/>
        <w:numPr>
          <w:ilvl w:val="0"/>
          <w:numId w:val="1"/>
        </w:numPr>
        <w:spacing w:line="372" w:lineRule="exact"/>
        <w:ind w:firstLineChars="0"/>
        <w:jc w:val="center"/>
        <w:outlineLvl w:val="0"/>
        <w:rPr>
          <w:b/>
          <w:bCs/>
          <w:kern w:val="0"/>
          <w:szCs w:val="21"/>
        </w:rPr>
      </w:pPr>
      <w:r>
        <w:rPr>
          <w:rFonts w:hint="eastAsia"/>
          <w:b/>
          <w:bCs/>
          <w:kern w:val="0"/>
          <w:szCs w:val="21"/>
        </w:rPr>
        <w:t>还款</w:t>
      </w:r>
    </w:p>
    <w:p w14:paraId="6815C580">
      <w:pPr>
        <w:pStyle w:val="9"/>
        <w:numPr>
          <w:ilvl w:val="1"/>
          <w:numId w:val="10"/>
        </w:numPr>
        <w:spacing w:line="372" w:lineRule="exact"/>
        <w:ind w:firstLineChars="0"/>
        <w:rPr>
          <w:kern w:val="0"/>
          <w:szCs w:val="21"/>
        </w:rPr>
      </w:pPr>
      <w:r>
        <w:rPr>
          <w:rFonts w:hint="eastAsia"/>
          <w:kern w:val="0"/>
          <w:szCs w:val="21"/>
        </w:rPr>
        <w:t>乙方在甲方（包括协办行）处开立账户，在约定的还款日之前，将应还款项全额存入该账户内。</w:t>
      </w:r>
    </w:p>
    <w:p w14:paraId="633BFE90">
      <w:pPr>
        <w:pStyle w:val="9"/>
        <w:numPr>
          <w:ilvl w:val="1"/>
          <w:numId w:val="10"/>
        </w:numPr>
        <w:spacing w:line="372" w:lineRule="exact"/>
        <w:ind w:firstLineChars="0"/>
        <w:rPr>
          <w:kern w:val="0"/>
          <w:szCs w:val="21"/>
        </w:rPr>
      </w:pPr>
      <w:r>
        <w:rPr>
          <w:rFonts w:hint="eastAsia"/>
          <w:kern w:val="0"/>
          <w:szCs w:val="21"/>
        </w:rPr>
        <w:t>额度内每笔授信到期时，乙方均须按期足额履行债务清偿义务。否则，将作为授信逾期或垫款处理。</w:t>
      </w:r>
    </w:p>
    <w:p w14:paraId="1F269845">
      <w:pPr>
        <w:pStyle w:val="9"/>
        <w:numPr>
          <w:ilvl w:val="1"/>
          <w:numId w:val="10"/>
        </w:numPr>
        <w:spacing w:line="372" w:lineRule="exact"/>
        <w:ind w:firstLineChars="0"/>
        <w:rPr>
          <w:rFonts w:eastAsiaTheme="minorEastAsia"/>
          <w:b/>
          <w:bCs/>
          <w:szCs w:val="21"/>
        </w:rPr>
      </w:pPr>
      <w:r>
        <w:rPr>
          <w:rFonts w:hint="eastAsia"/>
          <w:kern w:val="0"/>
          <w:szCs w:val="21"/>
        </w:rPr>
        <w:t>如因乙方未能足额履行按时还款义务或发生银行被动垫款的，其应根据具体业务授信合同及</w:t>
      </w:r>
      <w:r>
        <w:rPr>
          <w:kern w:val="0"/>
          <w:szCs w:val="21"/>
        </w:rPr>
        <w:t>/</w:t>
      </w:r>
      <w:r>
        <w:rPr>
          <w:rFonts w:hint="eastAsia"/>
          <w:kern w:val="0"/>
          <w:szCs w:val="21"/>
        </w:rPr>
        <w:t>或其他相关文件约定承担违约责任，包括但不限于计收罚息、违约金等；就承兑、保函、备用证、信用证等表外授信业务（如适用），</w:t>
      </w:r>
      <w:r>
        <w:rPr>
          <w:rFonts w:hint="eastAsia"/>
          <w:b/>
          <w:bCs/>
          <w:kern w:val="0"/>
          <w:szCs w:val="21"/>
        </w:rPr>
        <w:t>乙方应当根据甲方不时通知或要求及时履行该</w:t>
      </w:r>
      <w:r>
        <w:rPr>
          <w:rFonts w:hint="eastAsia" w:eastAsiaTheme="minorEastAsia"/>
          <w:b/>
          <w:bCs/>
          <w:szCs w:val="21"/>
        </w:rPr>
        <w:t>等业务项下付款义务，或根据甲方要求向甲方补足保证金至授信金额的</w:t>
      </w:r>
      <w:r>
        <w:rPr>
          <w:rFonts w:eastAsiaTheme="minorEastAsia"/>
          <w:b/>
          <w:bCs/>
          <w:szCs w:val="21"/>
        </w:rPr>
        <w:t>100%</w:t>
      </w:r>
      <w:r>
        <w:rPr>
          <w:rFonts w:hint="eastAsia" w:eastAsiaTheme="minorEastAsia"/>
          <w:b/>
          <w:bCs/>
          <w:szCs w:val="21"/>
        </w:rPr>
        <w:t>以备对外支付。</w:t>
      </w:r>
    </w:p>
    <w:p w14:paraId="141E8965">
      <w:pPr>
        <w:tabs>
          <w:tab w:val="left" w:pos="1800"/>
        </w:tabs>
        <w:autoSpaceDE w:val="0"/>
        <w:autoSpaceDN w:val="0"/>
        <w:spacing w:line="372" w:lineRule="exact"/>
        <w:rPr>
          <w:rFonts w:eastAsiaTheme="minorEastAsia"/>
          <w:sz w:val="21"/>
          <w:szCs w:val="21"/>
        </w:rPr>
      </w:pPr>
    </w:p>
    <w:p w14:paraId="3983690F">
      <w:pPr>
        <w:pStyle w:val="9"/>
        <w:numPr>
          <w:ilvl w:val="0"/>
          <w:numId w:val="1"/>
        </w:numPr>
        <w:spacing w:line="372" w:lineRule="exact"/>
        <w:ind w:firstLineChars="0"/>
        <w:jc w:val="center"/>
        <w:outlineLvl w:val="0"/>
        <w:rPr>
          <w:b/>
          <w:bCs/>
          <w:kern w:val="0"/>
          <w:szCs w:val="21"/>
        </w:rPr>
      </w:pPr>
      <w:r>
        <w:rPr>
          <w:rFonts w:hint="eastAsia"/>
          <w:b/>
          <w:bCs/>
          <w:kern w:val="0"/>
          <w:szCs w:val="21"/>
        </w:rPr>
        <w:t>乙方声明与保证</w:t>
      </w:r>
    </w:p>
    <w:p w14:paraId="7A6F48DF">
      <w:pPr>
        <w:pStyle w:val="9"/>
        <w:numPr>
          <w:ilvl w:val="1"/>
          <w:numId w:val="11"/>
        </w:numPr>
        <w:spacing w:line="372" w:lineRule="exact"/>
        <w:ind w:firstLineChars="0"/>
        <w:rPr>
          <w:kern w:val="0"/>
          <w:szCs w:val="21"/>
        </w:rPr>
      </w:pPr>
      <w:r>
        <w:rPr>
          <w:rFonts w:hint="eastAsia"/>
          <w:kern w:val="0"/>
          <w:szCs w:val="21"/>
        </w:rPr>
        <w:t>乙方是其所在地的司法辖区内合法设立、有效存续及拥有良好声誉的公司，拥有从事目前业务所需要的全部公司权利及政府许可和批准</w:t>
      </w:r>
      <w:r>
        <w:rPr>
          <w:rFonts w:hint="eastAsia" w:ascii="宋体" w:hAnsi="宋体"/>
          <w:kern w:val="0"/>
          <w:szCs w:val="21"/>
        </w:rPr>
        <w:t>，自身及控股股东信用状况良好</w:t>
      </w:r>
      <w:r>
        <w:rPr>
          <w:rFonts w:hint="eastAsia"/>
          <w:kern w:val="0"/>
          <w:szCs w:val="21"/>
        </w:rPr>
        <w:t>。</w:t>
      </w:r>
    </w:p>
    <w:p w14:paraId="5EFE69A9">
      <w:pPr>
        <w:pStyle w:val="9"/>
        <w:numPr>
          <w:ilvl w:val="1"/>
          <w:numId w:val="11"/>
        </w:numPr>
        <w:spacing w:line="372" w:lineRule="exact"/>
        <w:ind w:firstLineChars="0"/>
        <w:rPr>
          <w:kern w:val="0"/>
          <w:szCs w:val="21"/>
        </w:rPr>
      </w:pPr>
      <w:r>
        <w:rPr>
          <w:rFonts w:hint="eastAsia"/>
          <w:kern w:val="0"/>
          <w:szCs w:val="21"/>
        </w:rPr>
        <w:t>乙方已完成签署本协议所需的所有授权和审批，签署或加入本协议是乙方的真实意思表示，不会导致违反其公司章程、相关法律法规规定及</w:t>
      </w:r>
      <w:r>
        <w:rPr>
          <w:kern w:val="0"/>
          <w:szCs w:val="21"/>
        </w:rPr>
        <w:t>/</w:t>
      </w:r>
      <w:r>
        <w:rPr>
          <w:rFonts w:hint="eastAsia"/>
          <w:kern w:val="0"/>
          <w:szCs w:val="21"/>
        </w:rPr>
        <w:t>或其与任何第三方签订的协议或承诺。乙方签署或加入本协议时未违反任何有关环境保护、节能减排、降低污染的法律、法规与规章，并承诺签署本协议后严格遵守该类法律、法规与规章。</w:t>
      </w:r>
    </w:p>
    <w:p w14:paraId="5CFE31E3">
      <w:pPr>
        <w:pStyle w:val="9"/>
        <w:numPr>
          <w:ilvl w:val="1"/>
          <w:numId w:val="11"/>
        </w:numPr>
        <w:spacing w:line="372" w:lineRule="exact"/>
        <w:ind w:firstLineChars="0"/>
        <w:rPr>
          <w:kern w:val="0"/>
          <w:szCs w:val="21"/>
        </w:rPr>
      </w:pPr>
      <w:r>
        <w:rPr>
          <w:rFonts w:hint="eastAsia"/>
          <w:kern w:val="0"/>
          <w:szCs w:val="21"/>
        </w:rPr>
        <w:t>除本协议签署前已书面通知甲方以外，乙方不存在任何可能对本协议履行产生重大不利影响的诉讼、仲裁、执行、申诉、复议等程序及其他事件或情况。</w:t>
      </w:r>
    </w:p>
    <w:p w14:paraId="6818F70F">
      <w:pPr>
        <w:pStyle w:val="9"/>
        <w:numPr>
          <w:ilvl w:val="1"/>
          <w:numId w:val="11"/>
        </w:numPr>
        <w:spacing w:line="372" w:lineRule="exact"/>
        <w:ind w:firstLineChars="0"/>
        <w:rPr>
          <w:kern w:val="0"/>
          <w:szCs w:val="21"/>
        </w:rPr>
      </w:pPr>
      <w:r>
        <w:rPr>
          <w:rFonts w:hint="eastAsia"/>
          <w:kern w:val="0"/>
          <w:szCs w:val="21"/>
        </w:rPr>
        <w:t>乙方应根据甲方要求及时提供</w:t>
      </w:r>
      <w:r>
        <w:rPr>
          <w:kern w:val="0"/>
          <w:szCs w:val="21"/>
        </w:rPr>
        <w:t>文件资料（包括但不限于按甲方要求的周期提供其真实的财务报表和年度财务报告，生产、经营、管理方面的重大决策和变化）</w:t>
      </w:r>
      <w:r>
        <w:rPr>
          <w:rFonts w:hint="eastAsia"/>
          <w:kern w:val="0"/>
          <w:szCs w:val="21"/>
        </w:rPr>
        <w:t>、所有开户行账号及存贷款余额情况及甲方要求的其他相关资料，</w:t>
      </w:r>
      <w:r>
        <w:rPr>
          <w:kern w:val="0"/>
          <w:szCs w:val="21"/>
        </w:rPr>
        <w:t>并配合甲方的调查、审查和检查</w:t>
      </w:r>
      <w:r>
        <w:rPr>
          <w:rFonts w:hint="eastAsia"/>
          <w:kern w:val="0"/>
          <w:szCs w:val="21"/>
        </w:rPr>
        <w:t>，并保证所提供文件和资料的真实、完整、客观，不含有任何虚假记载、误导性陈述或重大遗漏，财务报表为严格依据中国会计准则编制。</w:t>
      </w:r>
    </w:p>
    <w:p w14:paraId="0AC34736">
      <w:pPr>
        <w:tabs>
          <w:tab w:val="left" w:pos="1800"/>
        </w:tabs>
        <w:autoSpaceDE w:val="0"/>
        <w:autoSpaceDN w:val="0"/>
        <w:spacing w:line="372" w:lineRule="exact"/>
        <w:rPr>
          <w:rFonts w:eastAsiaTheme="minorEastAsia"/>
          <w:sz w:val="21"/>
          <w:szCs w:val="21"/>
        </w:rPr>
      </w:pPr>
    </w:p>
    <w:p w14:paraId="7A6F4533">
      <w:pPr>
        <w:pStyle w:val="9"/>
        <w:numPr>
          <w:ilvl w:val="0"/>
          <w:numId w:val="1"/>
        </w:numPr>
        <w:spacing w:line="372" w:lineRule="exact"/>
        <w:ind w:firstLineChars="0"/>
        <w:jc w:val="center"/>
        <w:outlineLvl w:val="0"/>
        <w:rPr>
          <w:b/>
          <w:bCs/>
          <w:kern w:val="0"/>
          <w:szCs w:val="21"/>
        </w:rPr>
      </w:pPr>
      <w:r>
        <w:rPr>
          <w:rFonts w:hint="eastAsia"/>
          <w:b/>
          <w:bCs/>
          <w:kern w:val="0"/>
          <w:szCs w:val="21"/>
        </w:rPr>
        <w:t>乙方的权利与义务</w:t>
      </w:r>
    </w:p>
    <w:p w14:paraId="054E1193">
      <w:pPr>
        <w:pStyle w:val="9"/>
        <w:numPr>
          <w:ilvl w:val="1"/>
          <w:numId w:val="12"/>
        </w:numPr>
        <w:spacing w:line="372" w:lineRule="exact"/>
        <w:ind w:firstLineChars="0"/>
        <w:rPr>
          <w:kern w:val="0"/>
          <w:szCs w:val="21"/>
        </w:rPr>
      </w:pPr>
      <w:r>
        <w:rPr>
          <w:rFonts w:hint="eastAsia"/>
          <w:kern w:val="0"/>
          <w:szCs w:val="21"/>
        </w:rPr>
        <w:t>乙方有权依据本协议项下约定的条件和条款向甲方申请办理具体业务，并由甲方依据本协议约定行事。</w:t>
      </w:r>
    </w:p>
    <w:p w14:paraId="20313AC6">
      <w:pPr>
        <w:pStyle w:val="9"/>
        <w:numPr>
          <w:ilvl w:val="1"/>
          <w:numId w:val="12"/>
        </w:numPr>
        <w:spacing w:line="372" w:lineRule="exact"/>
        <w:ind w:firstLineChars="0"/>
        <w:rPr>
          <w:kern w:val="0"/>
          <w:szCs w:val="21"/>
        </w:rPr>
      </w:pPr>
      <w:r>
        <w:rPr>
          <w:rFonts w:hint="eastAsia"/>
          <w:kern w:val="0"/>
          <w:szCs w:val="21"/>
        </w:rPr>
        <w:t>乙方</w:t>
      </w:r>
      <w:r>
        <w:rPr>
          <w:kern w:val="0"/>
          <w:szCs w:val="21"/>
        </w:rPr>
        <w:t>应当接受甲方对其使用信贷资金情况和有关生产经营、财务活动的监督</w:t>
      </w:r>
      <w:r>
        <w:rPr>
          <w:rFonts w:hint="eastAsia"/>
          <w:kern w:val="0"/>
          <w:szCs w:val="21"/>
        </w:rPr>
        <w:t>。</w:t>
      </w:r>
    </w:p>
    <w:p w14:paraId="788086AA">
      <w:pPr>
        <w:pStyle w:val="9"/>
        <w:numPr>
          <w:ilvl w:val="1"/>
          <w:numId w:val="12"/>
        </w:numPr>
        <w:spacing w:line="372" w:lineRule="exact"/>
        <w:ind w:firstLineChars="0"/>
        <w:rPr>
          <w:kern w:val="0"/>
          <w:szCs w:val="21"/>
        </w:rPr>
      </w:pPr>
      <w:r>
        <w:rPr>
          <w:rFonts w:hint="eastAsia"/>
          <w:kern w:val="0"/>
          <w:szCs w:val="21"/>
        </w:rPr>
        <w:t>乙方</w:t>
      </w:r>
      <w:r>
        <w:rPr>
          <w:kern w:val="0"/>
          <w:szCs w:val="21"/>
        </w:rPr>
        <w:t>应当按本协议和各具体合同的约定及/或承诺用途使用贷款及/或其他</w:t>
      </w:r>
      <w:r>
        <w:rPr>
          <w:rFonts w:hint="eastAsia"/>
          <w:kern w:val="0"/>
          <w:szCs w:val="21"/>
        </w:rPr>
        <w:t>授信。</w:t>
      </w:r>
    </w:p>
    <w:p w14:paraId="60FF0161">
      <w:pPr>
        <w:pStyle w:val="9"/>
        <w:numPr>
          <w:ilvl w:val="1"/>
          <w:numId w:val="12"/>
        </w:numPr>
        <w:spacing w:line="372" w:lineRule="exact"/>
        <w:ind w:firstLineChars="0"/>
        <w:rPr>
          <w:kern w:val="0"/>
          <w:szCs w:val="21"/>
        </w:rPr>
      </w:pPr>
      <w:r>
        <w:rPr>
          <w:rFonts w:hint="eastAsia"/>
          <w:kern w:val="0"/>
          <w:szCs w:val="21"/>
        </w:rPr>
        <w:t>乙方</w:t>
      </w:r>
      <w:r>
        <w:rPr>
          <w:kern w:val="0"/>
          <w:szCs w:val="21"/>
        </w:rPr>
        <w:t>应当按本协议和各具体合同的约定按时足额偿还贷款、垫款和其他授信债务的本息</w:t>
      </w:r>
      <w:r>
        <w:rPr>
          <w:rFonts w:hint="eastAsia"/>
          <w:kern w:val="0"/>
          <w:szCs w:val="21"/>
        </w:rPr>
        <w:t>。</w:t>
      </w:r>
    </w:p>
    <w:p w14:paraId="2C57EA9A">
      <w:pPr>
        <w:pStyle w:val="9"/>
        <w:numPr>
          <w:ilvl w:val="1"/>
          <w:numId w:val="12"/>
        </w:numPr>
        <w:spacing w:line="372" w:lineRule="exact"/>
        <w:ind w:firstLineChars="0"/>
        <w:rPr>
          <w:kern w:val="0"/>
          <w:szCs w:val="21"/>
        </w:rPr>
      </w:pPr>
      <w:r>
        <w:rPr>
          <w:rFonts w:hint="eastAsia"/>
          <w:kern w:val="0"/>
          <w:szCs w:val="21"/>
        </w:rPr>
        <w:t>乙方在经营活动中严格遵守国家各项法律法规，严格按照营业执照规定的或依法核定的经营范围开展各项业务，按时登录全国企业信息公示系统公示企业年度报告；</w:t>
      </w:r>
    </w:p>
    <w:p w14:paraId="159770F2">
      <w:pPr>
        <w:pStyle w:val="9"/>
        <w:numPr>
          <w:ilvl w:val="1"/>
          <w:numId w:val="12"/>
        </w:numPr>
        <w:spacing w:line="372" w:lineRule="exact"/>
        <w:ind w:firstLineChars="0"/>
        <w:rPr>
          <w:kern w:val="0"/>
          <w:szCs w:val="21"/>
        </w:rPr>
      </w:pPr>
      <w:r>
        <w:rPr>
          <w:rFonts w:hint="eastAsia"/>
          <w:kern w:val="0"/>
          <w:szCs w:val="21"/>
        </w:rPr>
        <w:t>乙方应保持或提高现有经营管理水平，确保现有资产的保值增值，不放弃任何已到期债权，也不以无偿或其他不合适方式处分现有主要财产。</w:t>
      </w:r>
    </w:p>
    <w:p w14:paraId="1BF31BEE">
      <w:pPr>
        <w:pStyle w:val="9"/>
        <w:numPr>
          <w:ilvl w:val="1"/>
          <w:numId w:val="12"/>
        </w:numPr>
        <w:spacing w:line="372" w:lineRule="exact"/>
        <w:ind w:firstLineChars="0"/>
        <w:rPr>
          <w:kern w:val="0"/>
          <w:szCs w:val="21"/>
        </w:rPr>
      </w:pPr>
      <w:r>
        <w:rPr>
          <w:rFonts w:hint="eastAsia"/>
          <w:kern w:val="0"/>
          <w:szCs w:val="21"/>
        </w:rPr>
        <w:t>乙方为集团客户时，应在发生净资产</w:t>
      </w:r>
      <w:r>
        <w:rPr>
          <w:kern w:val="0"/>
          <w:szCs w:val="21"/>
        </w:rPr>
        <w:t>10</w:t>
      </w:r>
      <w:r>
        <w:rPr>
          <w:rFonts w:hint="eastAsia"/>
          <w:kern w:val="0"/>
          <w:szCs w:val="21"/>
        </w:rPr>
        <w:t>％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w:t>
      </w:r>
      <w:r>
        <w:rPr>
          <w:kern w:val="0"/>
          <w:szCs w:val="21"/>
        </w:rPr>
        <w:t>a</w:t>
      </w:r>
      <w:r>
        <w:rPr>
          <w:rFonts w:hint="eastAsia"/>
          <w:kern w:val="0"/>
          <w:szCs w:val="21"/>
        </w:rPr>
        <w:t>）在股权上或者经营上直接或间接控制其他企事业法人或被其他企事业法人控制的；（</w:t>
      </w:r>
      <w:r>
        <w:rPr>
          <w:kern w:val="0"/>
          <w:szCs w:val="21"/>
        </w:rPr>
        <w:t>b</w:t>
      </w:r>
      <w:r>
        <w:rPr>
          <w:rFonts w:hint="eastAsia"/>
          <w:kern w:val="0"/>
          <w:szCs w:val="21"/>
        </w:rPr>
        <w:t>）共同被第三方企事业法人所控制的；（</w:t>
      </w:r>
      <w:r>
        <w:rPr>
          <w:kern w:val="0"/>
          <w:szCs w:val="21"/>
        </w:rPr>
        <w:t>c</w:t>
      </w:r>
      <w:r>
        <w:rPr>
          <w:rFonts w:hint="eastAsia"/>
          <w:kern w:val="0"/>
          <w:szCs w:val="21"/>
        </w:rPr>
        <w:t>）主要投资者个人、关键管理人员或与其关系密切的家庭成员（包括三代以内直系亲属关系和二代以内旁系亲属关系）共同直接控制或间接控制的；或（</w:t>
      </w:r>
      <w:r>
        <w:rPr>
          <w:kern w:val="0"/>
          <w:szCs w:val="21"/>
        </w:rPr>
        <w:t>d</w:t>
      </w:r>
      <w:r>
        <w:rPr>
          <w:rFonts w:hint="eastAsia"/>
          <w:kern w:val="0"/>
          <w:szCs w:val="21"/>
        </w:rPr>
        <w:t>）存在其他关联关系，可能不按公允价格原则转移资产和利润，应视同集团客户进行授信管理的。</w:t>
      </w:r>
    </w:p>
    <w:p w14:paraId="5EED50BA">
      <w:pPr>
        <w:pStyle w:val="9"/>
        <w:numPr>
          <w:ilvl w:val="1"/>
          <w:numId w:val="12"/>
        </w:numPr>
        <w:spacing w:line="372" w:lineRule="exact"/>
        <w:ind w:firstLineChars="0"/>
        <w:rPr>
          <w:rFonts w:ascii="宋体" w:hAnsi="宋体"/>
          <w:bCs/>
          <w:kern w:val="0"/>
          <w:szCs w:val="21"/>
        </w:rPr>
      </w:pPr>
      <w:r>
        <w:rPr>
          <w:rFonts w:hint="eastAsia" w:ascii="宋体" w:hAnsi="宋体"/>
          <w:bCs/>
          <w:kern w:val="0"/>
          <w:szCs w:val="21"/>
        </w:rPr>
        <w:t>乙方有下列情形之一时，应提前三十天书面通知甲方并取得甲方书面同意后方可进行（但依甲方合理判断未对本协议履行造成重大影响的情形除外）：</w:t>
      </w:r>
    </w:p>
    <w:p w14:paraId="07C42E64">
      <w:pPr>
        <w:pStyle w:val="9"/>
        <w:numPr>
          <w:ilvl w:val="0"/>
          <w:numId w:val="13"/>
        </w:numPr>
        <w:spacing w:line="372" w:lineRule="exact"/>
        <w:ind w:left="1134" w:hanging="644" w:firstLineChars="0"/>
        <w:rPr>
          <w:kern w:val="0"/>
          <w:szCs w:val="21"/>
        </w:rPr>
      </w:pPr>
      <w:r>
        <w:rPr>
          <w:rFonts w:hint="eastAsia"/>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4DB5C1EA">
      <w:pPr>
        <w:pStyle w:val="9"/>
        <w:numPr>
          <w:ilvl w:val="0"/>
          <w:numId w:val="13"/>
        </w:numPr>
        <w:spacing w:line="372" w:lineRule="exact"/>
        <w:ind w:left="1134" w:hanging="644" w:firstLineChars="0"/>
        <w:rPr>
          <w:kern w:val="0"/>
          <w:szCs w:val="21"/>
        </w:rPr>
      </w:pPr>
      <w:r>
        <w:rPr>
          <w:rFonts w:hint="eastAsia"/>
          <w:kern w:val="0"/>
          <w:szCs w:val="21"/>
        </w:rPr>
        <w:t>出售、赠与、出借、转移、抵（质）押或以任何其他方式处分价值超过其净资产</w:t>
      </w:r>
      <w:r>
        <w:rPr>
          <w:kern w:val="0"/>
          <w:szCs w:val="21"/>
        </w:rPr>
        <w:t>10%</w:t>
      </w:r>
      <w:r>
        <w:rPr>
          <w:rFonts w:hint="eastAsia"/>
          <w:kern w:val="0"/>
          <w:szCs w:val="21"/>
        </w:rPr>
        <w:t>的资产；</w:t>
      </w:r>
    </w:p>
    <w:p w14:paraId="218AB0DB">
      <w:pPr>
        <w:pStyle w:val="9"/>
        <w:numPr>
          <w:ilvl w:val="0"/>
          <w:numId w:val="13"/>
        </w:numPr>
        <w:spacing w:line="372" w:lineRule="exact"/>
        <w:ind w:left="1134" w:hanging="644" w:firstLineChars="0"/>
        <w:rPr>
          <w:kern w:val="0"/>
          <w:szCs w:val="21"/>
        </w:rPr>
      </w:pPr>
      <w:r>
        <w:rPr>
          <w:rFonts w:hint="eastAsia"/>
          <w:kern w:val="0"/>
          <w:szCs w:val="21"/>
        </w:rPr>
        <w:t>分红超过当年税后净利润的</w:t>
      </w:r>
      <w:r>
        <w:rPr>
          <w:kern w:val="0"/>
          <w:szCs w:val="21"/>
        </w:rPr>
        <w:t>30%</w:t>
      </w:r>
      <w:r>
        <w:rPr>
          <w:rFonts w:hint="eastAsia"/>
          <w:kern w:val="0"/>
          <w:szCs w:val="21"/>
        </w:rPr>
        <w:t>或者超过全部未分配利润的</w:t>
      </w:r>
      <w:r>
        <w:rPr>
          <w:kern w:val="0"/>
          <w:szCs w:val="21"/>
        </w:rPr>
        <w:t>20%</w:t>
      </w:r>
      <w:r>
        <w:rPr>
          <w:rFonts w:hint="eastAsia"/>
          <w:kern w:val="0"/>
          <w:szCs w:val="21"/>
        </w:rPr>
        <w:t>；</w:t>
      </w:r>
    </w:p>
    <w:p w14:paraId="35D50378">
      <w:pPr>
        <w:pStyle w:val="9"/>
        <w:numPr>
          <w:ilvl w:val="0"/>
          <w:numId w:val="13"/>
        </w:numPr>
        <w:spacing w:line="372" w:lineRule="exact"/>
        <w:ind w:left="1134" w:hanging="644" w:firstLineChars="0"/>
        <w:rPr>
          <w:kern w:val="0"/>
          <w:szCs w:val="21"/>
        </w:rPr>
      </w:pPr>
      <w:r>
        <w:rPr>
          <w:rFonts w:hint="eastAsia"/>
          <w:kern w:val="0"/>
          <w:szCs w:val="21"/>
        </w:rPr>
        <w:t>本协议额度生效后新增对外投资超过其净资产的</w:t>
      </w:r>
      <w:r>
        <w:rPr>
          <w:kern w:val="0"/>
          <w:szCs w:val="21"/>
        </w:rPr>
        <w:t>20%</w:t>
      </w:r>
      <w:r>
        <w:rPr>
          <w:rFonts w:hint="eastAsia"/>
          <w:kern w:val="0"/>
          <w:szCs w:val="21"/>
        </w:rPr>
        <w:t>；</w:t>
      </w:r>
    </w:p>
    <w:p w14:paraId="3E1AF836">
      <w:pPr>
        <w:pStyle w:val="9"/>
        <w:numPr>
          <w:ilvl w:val="0"/>
          <w:numId w:val="13"/>
        </w:numPr>
        <w:spacing w:line="372" w:lineRule="exact"/>
        <w:ind w:left="1134" w:hanging="644" w:firstLineChars="0"/>
        <w:rPr>
          <w:kern w:val="0"/>
          <w:szCs w:val="21"/>
        </w:rPr>
      </w:pPr>
      <w:r>
        <w:rPr>
          <w:rFonts w:hint="eastAsia"/>
          <w:kern w:val="0"/>
          <w:szCs w:val="21"/>
        </w:rPr>
        <w:t>更改与其他银行的债务条款，或提前清偿其他长期债务；</w:t>
      </w:r>
    </w:p>
    <w:p w14:paraId="6D4AC375">
      <w:pPr>
        <w:pStyle w:val="9"/>
        <w:numPr>
          <w:ilvl w:val="0"/>
          <w:numId w:val="13"/>
        </w:numPr>
        <w:spacing w:line="372" w:lineRule="exact"/>
        <w:ind w:left="1134" w:hanging="644" w:firstLineChars="0"/>
        <w:rPr>
          <w:kern w:val="0"/>
          <w:szCs w:val="21"/>
        </w:rPr>
      </w:pPr>
      <w:r>
        <w:rPr>
          <w:rFonts w:hint="eastAsia"/>
          <w:kern w:val="0"/>
          <w:szCs w:val="21"/>
        </w:rPr>
        <w:t>偿还对乙方股东或实际控制人的债务；</w:t>
      </w:r>
    </w:p>
    <w:p w14:paraId="6C569551">
      <w:pPr>
        <w:pStyle w:val="9"/>
        <w:numPr>
          <w:ilvl w:val="0"/>
          <w:numId w:val="13"/>
        </w:numPr>
        <w:spacing w:line="372" w:lineRule="exact"/>
        <w:ind w:left="1134" w:hanging="644" w:firstLineChars="0"/>
        <w:rPr>
          <w:kern w:val="0"/>
          <w:szCs w:val="21"/>
        </w:rPr>
      </w:pPr>
      <w:r>
        <w:rPr>
          <w:rFonts w:hint="eastAsia"/>
          <w:kern w:val="0"/>
          <w:szCs w:val="21"/>
        </w:rPr>
        <w:t>向其他银行申请授信，或向第三方提供担保，或减免第三方债务，涉及债务金额超过其净资产的</w:t>
      </w:r>
      <w:r>
        <w:rPr>
          <w:kern w:val="0"/>
          <w:szCs w:val="21"/>
        </w:rPr>
        <w:t>20%</w:t>
      </w:r>
      <w:r>
        <w:rPr>
          <w:rFonts w:hint="eastAsia"/>
          <w:kern w:val="0"/>
          <w:szCs w:val="21"/>
        </w:rPr>
        <w:t>。</w:t>
      </w:r>
    </w:p>
    <w:p w14:paraId="0C73481D">
      <w:pPr>
        <w:pStyle w:val="9"/>
        <w:numPr>
          <w:ilvl w:val="1"/>
          <w:numId w:val="12"/>
        </w:numPr>
        <w:spacing w:line="372" w:lineRule="exact"/>
        <w:ind w:firstLineChars="0"/>
        <w:rPr>
          <w:kern w:val="0"/>
          <w:szCs w:val="21"/>
        </w:rPr>
      </w:pPr>
      <w:r>
        <w:rPr>
          <w:rFonts w:hint="eastAsia"/>
          <w:kern w:val="0"/>
          <w:szCs w:val="21"/>
        </w:rPr>
        <w:t>乙方</w:t>
      </w:r>
      <w:r>
        <w:rPr>
          <w:rFonts w:hint="eastAsia" w:ascii="宋体" w:hAnsi="宋体"/>
          <w:bCs/>
          <w:kern w:val="0"/>
          <w:szCs w:val="21"/>
        </w:rPr>
        <w:t>保证在</w:t>
      </w:r>
      <w:r>
        <w:rPr>
          <w:rFonts w:hint="eastAsia"/>
          <w:kern w:val="0"/>
          <w:szCs w:val="21"/>
        </w:rPr>
        <w:t>额度使用期内保持合理的财务比率。</w:t>
      </w:r>
    </w:p>
    <w:p w14:paraId="7EDF885A">
      <w:pPr>
        <w:pStyle w:val="9"/>
        <w:spacing w:line="372" w:lineRule="exact"/>
        <w:ind w:left="531" w:firstLine="0" w:firstLineChars="0"/>
        <w:rPr>
          <w:kern w:val="0"/>
          <w:szCs w:val="21"/>
          <w:u w:val="single"/>
        </w:rPr>
      </w:pPr>
      <w:r>
        <w:rPr>
          <w:rFonts w:hint="eastAsia"/>
          <w:kern w:val="0"/>
          <w:szCs w:val="21"/>
        </w:rPr>
        <w:t>□</w:t>
      </w:r>
      <w:r>
        <w:rPr>
          <w:kern w:val="0"/>
          <w:szCs w:val="21"/>
        </w:rPr>
        <w:tab/>
      </w:r>
      <w:r>
        <w:rPr>
          <w:rFonts w:hint="eastAsia"/>
          <w:kern w:val="0"/>
          <w:szCs w:val="21"/>
        </w:rPr>
        <w:t>额度使用期内财务指标应保持始终满足以下标准：</w:t>
      </w:r>
      <w:r>
        <w:rPr>
          <w:kern w:val="0"/>
          <w:szCs w:val="21"/>
        </w:rPr>
        <w:t>___________________________</w:t>
      </w:r>
    </w:p>
    <w:p w14:paraId="40ADDF7E">
      <w:pPr>
        <w:pStyle w:val="9"/>
        <w:spacing w:line="372" w:lineRule="exact"/>
        <w:ind w:left="531" w:firstLine="0" w:firstLineChars="0"/>
        <w:rPr>
          <w:kern w:val="0"/>
          <w:szCs w:val="21"/>
        </w:rPr>
      </w:pPr>
      <w:r>
        <w:rPr>
          <w:kern w:val="0"/>
          <w:szCs w:val="21"/>
        </w:rPr>
        <w:t>__________________________________________________________________________</w:t>
      </w:r>
    </w:p>
    <w:p w14:paraId="110012E5">
      <w:pPr>
        <w:pStyle w:val="9"/>
        <w:spacing w:line="372" w:lineRule="exact"/>
        <w:ind w:left="531" w:firstLine="0" w:firstLineChars="0"/>
        <w:rPr>
          <w:kern w:val="0"/>
          <w:szCs w:val="21"/>
        </w:rPr>
      </w:pPr>
      <w:r>
        <w:rPr>
          <w:kern w:val="0"/>
          <w:szCs w:val="21"/>
        </w:rPr>
        <w:t>__________________________________________________________________________</w:t>
      </w:r>
    </w:p>
    <w:p w14:paraId="01B60468">
      <w:pPr>
        <w:pStyle w:val="9"/>
        <w:numPr>
          <w:ilvl w:val="1"/>
          <w:numId w:val="12"/>
        </w:numPr>
        <w:spacing w:line="372" w:lineRule="exact"/>
        <w:ind w:firstLineChars="0"/>
        <w:rPr>
          <w:rFonts w:ascii="宋体" w:hAnsi="宋体"/>
          <w:b/>
          <w:kern w:val="0"/>
          <w:szCs w:val="21"/>
        </w:rPr>
      </w:pPr>
      <w:r>
        <w:rPr>
          <w:rFonts w:hint="eastAsia" w:ascii="宋体" w:hAnsi="宋体"/>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72FF5DCB">
      <w:pPr>
        <w:autoSpaceDE w:val="0"/>
        <w:autoSpaceDN w:val="0"/>
        <w:spacing w:line="372" w:lineRule="exact"/>
        <w:ind w:firstLine="420" w:firstLineChars="200"/>
        <w:rPr>
          <w:rFonts w:eastAsiaTheme="minorEastAsia"/>
          <w:sz w:val="21"/>
          <w:szCs w:val="21"/>
        </w:rPr>
      </w:pPr>
    </w:p>
    <w:p w14:paraId="0637F84A">
      <w:pPr>
        <w:pStyle w:val="9"/>
        <w:numPr>
          <w:ilvl w:val="0"/>
          <w:numId w:val="1"/>
        </w:numPr>
        <w:spacing w:line="372" w:lineRule="exact"/>
        <w:ind w:firstLineChars="0"/>
        <w:jc w:val="center"/>
        <w:outlineLvl w:val="0"/>
        <w:rPr>
          <w:b/>
          <w:bCs/>
          <w:kern w:val="0"/>
          <w:szCs w:val="21"/>
        </w:rPr>
      </w:pPr>
      <w:r>
        <w:rPr>
          <w:rFonts w:hint="eastAsia"/>
          <w:b/>
          <w:bCs/>
          <w:kern w:val="0"/>
          <w:szCs w:val="21"/>
        </w:rPr>
        <w:t>甲方的权利与义务</w:t>
      </w:r>
    </w:p>
    <w:p w14:paraId="21086C8E">
      <w:pPr>
        <w:pStyle w:val="9"/>
        <w:numPr>
          <w:ilvl w:val="1"/>
          <w:numId w:val="14"/>
        </w:numPr>
        <w:spacing w:line="372" w:lineRule="exact"/>
        <w:ind w:firstLineChars="0"/>
        <w:rPr>
          <w:kern w:val="0"/>
          <w:szCs w:val="21"/>
        </w:rPr>
      </w:pPr>
      <w:r>
        <w:rPr>
          <w:rFonts w:hint="eastAsia"/>
          <w:kern w:val="0"/>
          <w:szCs w:val="21"/>
        </w:rPr>
        <w:t>甲方有权要求乙方按期足额归还所有债务，并要求乙方根据本协议项下条件和条款申请和使用额度。</w:t>
      </w:r>
    </w:p>
    <w:p w14:paraId="375C3D25">
      <w:pPr>
        <w:pStyle w:val="9"/>
        <w:numPr>
          <w:ilvl w:val="1"/>
          <w:numId w:val="14"/>
        </w:numPr>
        <w:spacing w:line="372" w:lineRule="exact"/>
        <w:ind w:firstLineChars="0"/>
        <w:rPr>
          <w:kern w:val="0"/>
          <w:szCs w:val="21"/>
        </w:rPr>
      </w:pPr>
      <w:r>
        <w:rPr>
          <w:rFonts w:hint="eastAsia"/>
          <w:kern w:val="0"/>
          <w:szCs w:val="21"/>
        </w:rPr>
        <w:t>一年期（不含一年）以上额度，甲方有权自额度生效第二年起，依据额度生效时合同约定的授信条件对乙方和保证人（如有）经营财务状况和具体项目进展情况进行评估，并根据评估结果调整授信金额、期限和利率。</w:t>
      </w:r>
    </w:p>
    <w:p w14:paraId="67C08148">
      <w:pPr>
        <w:pStyle w:val="9"/>
        <w:spacing w:line="372" w:lineRule="exact"/>
        <w:ind w:left="531" w:firstLine="0" w:firstLineChars="0"/>
        <w:rPr>
          <w:kern w:val="0"/>
          <w:szCs w:val="21"/>
        </w:rPr>
      </w:pPr>
      <w:r>
        <w:rPr>
          <w:rFonts w:hint="eastAsia"/>
          <w:kern w:val="0"/>
          <w:szCs w:val="21"/>
        </w:rPr>
        <w:t>如有抵（质）押物的，甲方有权要求每年由甲方认可的评估机构对抵（质）押物进行价值评估。抵（质）押物价值明显下降的，已不足以作为主合同债务的担保，甲方有权要求乙方归还部分贷款或提供甲方认可的其他担保措施。</w:t>
      </w:r>
    </w:p>
    <w:p w14:paraId="1B0394B5">
      <w:pPr>
        <w:pStyle w:val="9"/>
        <w:numPr>
          <w:ilvl w:val="1"/>
          <w:numId w:val="14"/>
        </w:numPr>
        <w:spacing w:line="372" w:lineRule="exact"/>
        <w:ind w:firstLineChars="0"/>
        <w:rPr>
          <w:kern w:val="0"/>
          <w:szCs w:val="21"/>
        </w:rPr>
      </w:pPr>
      <w:r>
        <w:rPr>
          <w:rFonts w:hint="eastAsia"/>
          <w:kern w:val="0"/>
          <w:szCs w:val="21"/>
        </w:rPr>
        <w:t>甲方有权要求乙方提供与授信额度有关的资料，进入乙方经营场所，调查、审查、检查授信使用情况和企业资产、财务状况及经营情况，乙方应给予配合；甲方有权监督乙方按本协议约定用途使用贷款。</w:t>
      </w:r>
    </w:p>
    <w:p w14:paraId="5688EAA8">
      <w:pPr>
        <w:pStyle w:val="9"/>
        <w:numPr>
          <w:ilvl w:val="1"/>
          <w:numId w:val="14"/>
        </w:numPr>
        <w:spacing w:line="372" w:lineRule="exact"/>
        <w:ind w:firstLineChars="0"/>
        <w:rPr>
          <w:kern w:val="0"/>
          <w:szCs w:val="21"/>
        </w:rPr>
      </w:pPr>
      <w:r>
        <w:rPr>
          <w:rFonts w:hint="eastAsia"/>
          <w:kern w:val="0"/>
          <w:szCs w:val="21"/>
        </w:rPr>
        <w:t>甲方应对乙方提供的资料承担保密义务，但以下情况除外：（</w:t>
      </w:r>
      <w:r>
        <w:rPr>
          <w:kern w:val="0"/>
          <w:szCs w:val="21"/>
        </w:rPr>
        <w:t>a</w:t>
      </w:r>
      <w:r>
        <w:rPr>
          <w:rFonts w:hint="eastAsia"/>
          <w:kern w:val="0"/>
          <w:szCs w:val="21"/>
        </w:rPr>
        <w:t>）法律法规另有规定或有权机构或监管部门另有要求的；（</w:t>
      </w:r>
      <w:r>
        <w:rPr>
          <w:kern w:val="0"/>
          <w:szCs w:val="21"/>
        </w:rPr>
        <w:t>b</w:t>
      </w:r>
      <w:r>
        <w:rPr>
          <w:rFonts w:hint="eastAsia"/>
          <w:kern w:val="0"/>
          <w:szCs w:val="21"/>
        </w:rPr>
        <w:t>）在任何法律或仲裁程序中</w:t>
      </w:r>
      <w:r>
        <w:rPr>
          <w:rFonts w:hint="eastAsia" w:ascii="宋体" w:hAnsi="宋体"/>
          <w:bCs/>
          <w:kern w:val="0"/>
          <w:szCs w:val="21"/>
        </w:rPr>
        <w:t>进行的</w:t>
      </w:r>
      <w:r>
        <w:rPr>
          <w:rFonts w:hint="eastAsia"/>
          <w:kern w:val="0"/>
          <w:szCs w:val="21"/>
        </w:rPr>
        <w:t>披露；（</w:t>
      </w:r>
      <w:r>
        <w:rPr>
          <w:kern w:val="0"/>
          <w:szCs w:val="21"/>
        </w:rPr>
        <w:t>c</w:t>
      </w:r>
      <w:r>
        <w:rPr>
          <w:rFonts w:hint="eastAsia"/>
          <w:kern w:val="0"/>
          <w:szCs w:val="21"/>
        </w:rPr>
        <w:t>）向甲方所在集团或</w:t>
      </w:r>
      <w:r>
        <w:rPr>
          <w:rFonts w:hint="eastAsia" w:asciiTheme="majorEastAsia" w:hAnsiTheme="majorEastAsia" w:eastAsiaTheme="majorEastAsia"/>
          <w:bCs/>
          <w:kern w:val="0"/>
          <w:szCs w:val="21"/>
        </w:rPr>
        <w:t>平安银行</w:t>
      </w:r>
      <w:r>
        <w:rPr>
          <w:rFonts w:hint="eastAsia"/>
          <w:kern w:val="0"/>
          <w:szCs w:val="21"/>
        </w:rPr>
        <w:t>分支机构</w:t>
      </w:r>
      <w:r>
        <w:rPr>
          <w:rFonts w:hint="eastAsia" w:ascii="宋体" w:hAnsi="宋体"/>
          <w:bCs/>
          <w:kern w:val="0"/>
          <w:szCs w:val="21"/>
        </w:rPr>
        <w:t>进行</w:t>
      </w:r>
      <w:r>
        <w:rPr>
          <w:rFonts w:hint="eastAsia"/>
          <w:kern w:val="0"/>
          <w:szCs w:val="21"/>
        </w:rPr>
        <w:t>披露；（</w:t>
      </w:r>
      <w:r>
        <w:rPr>
          <w:kern w:val="0"/>
          <w:szCs w:val="21"/>
        </w:rPr>
        <w:t>d</w:t>
      </w:r>
      <w:r>
        <w:rPr>
          <w:rFonts w:hint="eastAsia"/>
          <w:kern w:val="0"/>
          <w:szCs w:val="21"/>
        </w:rPr>
        <w:t>）向所雇佣的专业咨询机构（包括但不限于律师和</w:t>
      </w:r>
      <w:r>
        <w:rPr>
          <w:rFonts w:hint="eastAsia" w:ascii="宋体" w:hAnsi="宋体"/>
          <w:bCs/>
          <w:kern w:val="0"/>
          <w:szCs w:val="21"/>
        </w:rPr>
        <w:t>/或</w:t>
      </w:r>
      <w:r>
        <w:rPr>
          <w:rFonts w:hint="eastAsia"/>
          <w:kern w:val="0"/>
          <w:szCs w:val="21"/>
        </w:rPr>
        <w:t>财务顾问）披露；（</w:t>
      </w:r>
      <w:r>
        <w:rPr>
          <w:kern w:val="0"/>
          <w:szCs w:val="21"/>
        </w:rPr>
        <w:t>e</w:t>
      </w:r>
      <w:r>
        <w:rPr>
          <w:rFonts w:hint="eastAsia"/>
          <w:kern w:val="0"/>
          <w:szCs w:val="21"/>
        </w:rPr>
        <w:t>）甲乙双方另有约定的</w:t>
      </w:r>
      <w:r>
        <w:rPr>
          <w:rFonts w:hint="eastAsia" w:ascii="宋体" w:hAnsi="宋体"/>
          <w:bCs/>
          <w:kern w:val="0"/>
          <w:szCs w:val="21"/>
        </w:rPr>
        <w:t>可以披露的情形</w:t>
      </w:r>
      <w:r>
        <w:rPr>
          <w:rFonts w:hint="eastAsia"/>
          <w:kern w:val="0"/>
          <w:szCs w:val="21"/>
        </w:rPr>
        <w:t>；或（</w:t>
      </w:r>
      <w:r>
        <w:rPr>
          <w:kern w:val="0"/>
          <w:szCs w:val="21"/>
        </w:rPr>
        <w:t>f</w:t>
      </w:r>
      <w:r>
        <w:rPr>
          <w:rFonts w:hint="eastAsia"/>
          <w:kern w:val="0"/>
          <w:szCs w:val="21"/>
        </w:rPr>
        <w:t>）乙方提供的资料不构成秘密信息的。</w:t>
      </w:r>
    </w:p>
    <w:p w14:paraId="1A110C1C">
      <w:pPr>
        <w:pStyle w:val="9"/>
        <w:numPr>
          <w:ilvl w:val="1"/>
          <w:numId w:val="14"/>
        </w:numPr>
        <w:spacing w:line="372" w:lineRule="exact"/>
        <w:ind w:firstLineChars="0"/>
        <w:rPr>
          <w:rFonts w:eastAsiaTheme="minorEastAsia"/>
          <w:szCs w:val="21"/>
        </w:rPr>
      </w:pPr>
      <w:r>
        <w:rPr>
          <w:rFonts w:hint="eastAsia"/>
          <w:kern w:val="0"/>
          <w:szCs w:val="21"/>
        </w:rPr>
        <w:t>甲方有权根据其内部流程需要，在接受乙方申请开立信用证后，委托位于受益人所在地的平安银行其他分支机构向受益人转开信用证；</w:t>
      </w:r>
      <w:r>
        <w:rPr>
          <w:rFonts w:hint="eastAsia" w:eastAsiaTheme="minorEastAsia"/>
          <w:szCs w:val="21"/>
        </w:rPr>
        <w:t>乙方将严格遵守各具体合同及其签署给甲方的开证承诺书及其他相关文件的约定。</w:t>
      </w:r>
    </w:p>
    <w:p w14:paraId="7FC537D2">
      <w:pPr>
        <w:spacing w:line="372" w:lineRule="exact"/>
        <w:rPr>
          <w:rFonts w:eastAsia="宋体"/>
          <w:kern w:val="0"/>
          <w:sz w:val="21"/>
          <w:szCs w:val="21"/>
        </w:rPr>
      </w:pPr>
    </w:p>
    <w:p w14:paraId="39F8DAE2">
      <w:pPr>
        <w:pStyle w:val="9"/>
        <w:numPr>
          <w:ilvl w:val="0"/>
          <w:numId w:val="1"/>
        </w:numPr>
        <w:spacing w:line="372" w:lineRule="exact"/>
        <w:ind w:firstLineChars="0"/>
        <w:jc w:val="center"/>
        <w:outlineLvl w:val="0"/>
        <w:rPr>
          <w:b/>
          <w:bCs/>
          <w:kern w:val="0"/>
          <w:szCs w:val="21"/>
        </w:rPr>
      </w:pPr>
      <w:r>
        <w:rPr>
          <w:rFonts w:hint="eastAsia"/>
          <w:b/>
          <w:bCs/>
          <w:kern w:val="0"/>
          <w:szCs w:val="21"/>
        </w:rPr>
        <w:t>违约条款</w:t>
      </w:r>
    </w:p>
    <w:p w14:paraId="7AFB1BE8">
      <w:pPr>
        <w:pStyle w:val="9"/>
        <w:numPr>
          <w:ilvl w:val="1"/>
          <w:numId w:val="15"/>
        </w:numPr>
        <w:spacing w:line="372" w:lineRule="exact"/>
        <w:ind w:firstLineChars="0"/>
        <w:rPr>
          <w:b/>
          <w:kern w:val="0"/>
          <w:szCs w:val="21"/>
        </w:rPr>
      </w:pPr>
      <w:r>
        <w:rPr>
          <w:rFonts w:hint="eastAsia"/>
          <w:b/>
          <w:kern w:val="0"/>
          <w:szCs w:val="21"/>
        </w:rPr>
        <w:t>发生以下任一事件均构成乙方在本协议项下之违约事件：</w:t>
      </w:r>
    </w:p>
    <w:p w14:paraId="539A9531">
      <w:pPr>
        <w:pStyle w:val="9"/>
        <w:numPr>
          <w:ilvl w:val="0"/>
          <w:numId w:val="16"/>
        </w:numPr>
        <w:spacing w:line="372" w:lineRule="exact"/>
        <w:ind w:left="1218" w:hanging="748" w:firstLineChars="0"/>
        <w:rPr>
          <w:kern w:val="0"/>
          <w:szCs w:val="21"/>
        </w:rPr>
      </w:pPr>
      <w:r>
        <w:rPr>
          <w:rFonts w:hint="eastAsia"/>
          <w:kern w:val="0"/>
          <w:szCs w:val="21"/>
        </w:rPr>
        <w:t>本协议项下授信发生欠息、逾期、垫款或出现乙方的任何其他应付未付债务，或未按有关约定的用途使用授信资金；</w:t>
      </w:r>
    </w:p>
    <w:p w14:paraId="56984DD4">
      <w:pPr>
        <w:pStyle w:val="9"/>
        <w:numPr>
          <w:ilvl w:val="0"/>
          <w:numId w:val="16"/>
        </w:numPr>
        <w:spacing w:line="372" w:lineRule="exact"/>
        <w:ind w:left="1218" w:hanging="748" w:firstLineChars="0"/>
        <w:rPr>
          <w:kern w:val="0"/>
          <w:szCs w:val="21"/>
        </w:rPr>
      </w:pPr>
      <w:r>
        <w:rPr>
          <w:rFonts w:hint="eastAsia"/>
          <w:kern w:val="0"/>
          <w:szCs w:val="21"/>
        </w:rPr>
        <w:t>乙方未按约定方式支用授信或贷款资金或以化整为零方式规避授信或贷款受托支付约定的；</w:t>
      </w:r>
    </w:p>
    <w:p w14:paraId="668A11F1">
      <w:pPr>
        <w:pStyle w:val="9"/>
        <w:numPr>
          <w:ilvl w:val="0"/>
          <w:numId w:val="16"/>
        </w:numPr>
        <w:spacing w:line="372" w:lineRule="exact"/>
        <w:ind w:left="1218" w:hanging="748" w:firstLineChars="0"/>
        <w:rPr>
          <w:kern w:val="0"/>
          <w:szCs w:val="21"/>
        </w:rPr>
      </w:pPr>
      <w:r>
        <w:rPr>
          <w:rFonts w:hint="eastAsia"/>
          <w:kern w:val="0"/>
          <w:szCs w:val="21"/>
        </w:rPr>
        <w:t>乙方违反其所作出的任何声明、保证或承诺；</w:t>
      </w:r>
    </w:p>
    <w:p w14:paraId="2DDB90E0">
      <w:pPr>
        <w:pStyle w:val="9"/>
        <w:numPr>
          <w:ilvl w:val="0"/>
          <w:numId w:val="16"/>
        </w:numPr>
        <w:spacing w:line="372" w:lineRule="exact"/>
        <w:ind w:left="1218" w:hanging="748" w:firstLineChars="0"/>
        <w:rPr>
          <w:kern w:val="0"/>
          <w:szCs w:val="21"/>
        </w:rPr>
      </w:pPr>
      <w:r>
        <w:rPr>
          <w:rFonts w:hint="eastAsia"/>
          <w:kern w:val="0"/>
          <w:szCs w:val="21"/>
        </w:rPr>
        <w:t>乙方违反本协议约定的其应履行的任何义务；</w:t>
      </w:r>
    </w:p>
    <w:p w14:paraId="6F7D21FC">
      <w:pPr>
        <w:pStyle w:val="9"/>
        <w:numPr>
          <w:ilvl w:val="0"/>
          <w:numId w:val="16"/>
        </w:numPr>
        <w:spacing w:line="372" w:lineRule="exact"/>
        <w:ind w:left="1218" w:hanging="748" w:firstLineChars="0"/>
        <w:rPr>
          <w:kern w:val="0"/>
          <w:szCs w:val="21"/>
        </w:rPr>
      </w:pPr>
      <w:r>
        <w:rPr>
          <w:rFonts w:hint="eastAsia"/>
          <w:kern w:val="0"/>
          <w:szCs w:val="21"/>
        </w:rPr>
        <w:t>乙方就本协议签署或履行而向甲方所提供的信息或材料不准确、不完整、隐瞒真实的重要情况或有重大遗漏或具有误导性的；</w:t>
      </w:r>
    </w:p>
    <w:p w14:paraId="5B7FB4A9">
      <w:pPr>
        <w:pStyle w:val="9"/>
        <w:numPr>
          <w:ilvl w:val="0"/>
          <w:numId w:val="16"/>
        </w:numPr>
        <w:spacing w:line="372" w:lineRule="exact"/>
        <w:ind w:left="1218" w:hanging="748" w:firstLineChars="0"/>
        <w:rPr>
          <w:kern w:val="0"/>
          <w:szCs w:val="21"/>
        </w:rPr>
      </w:pPr>
      <w:r>
        <w:rPr>
          <w:rFonts w:hint="eastAsia"/>
          <w:kern w:val="0"/>
          <w:szCs w:val="21"/>
        </w:rPr>
        <w:t>乙方未按要求及时办妥与本协议有关的担保登记手续（如需）的；</w:t>
      </w:r>
    </w:p>
    <w:p w14:paraId="0721F1B6">
      <w:pPr>
        <w:pStyle w:val="9"/>
        <w:numPr>
          <w:ilvl w:val="0"/>
          <w:numId w:val="16"/>
        </w:numPr>
        <w:spacing w:line="372" w:lineRule="exact"/>
        <w:ind w:left="1218" w:hanging="748" w:firstLineChars="0"/>
        <w:rPr>
          <w:kern w:val="0"/>
          <w:szCs w:val="21"/>
        </w:rPr>
      </w:pPr>
      <w:r>
        <w:rPr>
          <w:rFonts w:hint="eastAsia"/>
          <w:kern w:val="0"/>
          <w:szCs w:val="21"/>
        </w:rPr>
        <w:t>乙方或担保人通过关联交易或其他方式，逃废银行债权；</w:t>
      </w:r>
    </w:p>
    <w:p w14:paraId="156407C5">
      <w:pPr>
        <w:pStyle w:val="9"/>
        <w:numPr>
          <w:ilvl w:val="0"/>
          <w:numId w:val="16"/>
        </w:numPr>
        <w:spacing w:line="372" w:lineRule="exact"/>
        <w:ind w:left="1218" w:hanging="748" w:firstLineChars="0"/>
        <w:rPr>
          <w:kern w:val="0"/>
          <w:szCs w:val="21"/>
        </w:rPr>
      </w:pPr>
      <w:r>
        <w:rPr>
          <w:rFonts w:hint="eastAsia"/>
          <w:kern w:val="0"/>
          <w:szCs w:val="21"/>
        </w:rPr>
        <w:t>乙方及/或担保人存在怠于管理和追索到期债权，或以无偿、不合理的低价及其他不适当方式处分其主要财产等转移财产或抽逃资金或其他逃避债务的行为的；</w:t>
      </w:r>
    </w:p>
    <w:p w14:paraId="52BF7EA2">
      <w:pPr>
        <w:pStyle w:val="9"/>
        <w:numPr>
          <w:ilvl w:val="0"/>
          <w:numId w:val="16"/>
        </w:numPr>
        <w:spacing w:line="372" w:lineRule="exact"/>
        <w:ind w:left="1218" w:hanging="748" w:firstLineChars="0"/>
        <w:rPr>
          <w:kern w:val="0"/>
          <w:szCs w:val="21"/>
        </w:rPr>
      </w:pPr>
      <w:r>
        <w:rPr>
          <w:rFonts w:hint="eastAsia"/>
          <w:kern w:val="0"/>
          <w:szCs w:val="21"/>
        </w:rPr>
        <w:t>乙方利用与任何第三人之间的虚假合同和安排，包括但不限于以无真实贸易背景的应收票据等债权贴现或质押，套取甲方或其他银行的资金或授信；</w:t>
      </w:r>
    </w:p>
    <w:p w14:paraId="61453ECE">
      <w:pPr>
        <w:pStyle w:val="9"/>
        <w:numPr>
          <w:ilvl w:val="0"/>
          <w:numId w:val="16"/>
        </w:numPr>
        <w:spacing w:line="372" w:lineRule="exact"/>
        <w:ind w:left="1218" w:hanging="748" w:firstLineChars="0"/>
        <w:rPr>
          <w:kern w:val="0"/>
          <w:szCs w:val="21"/>
        </w:rPr>
      </w:pPr>
      <w:r>
        <w:rPr>
          <w:rFonts w:hint="eastAsia"/>
          <w:kern w:val="0"/>
          <w:szCs w:val="21"/>
        </w:rPr>
        <w:t>乙方及/或担保人违反与</w:t>
      </w:r>
      <w:r>
        <w:rPr>
          <w:rFonts w:hint="eastAsia" w:asciiTheme="minorEastAsia" w:hAnsiTheme="minorEastAsia" w:eastAsiaTheme="minorEastAsia"/>
          <w:kern w:val="0"/>
          <w:szCs w:val="21"/>
        </w:rPr>
        <w:t>甲方（包括平安银行的任何分支机构）及</w:t>
      </w:r>
      <w:r>
        <w:rPr>
          <w:rFonts w:asciiTheme="minorEastAsia" w:hAnsiTheme="minorEastAsia" w:eastAsiaTheme="minorEastAsia"/>
          <w:kern w:val="0"/>
          <w:szCs w:val="21"/>
        </w:rPr>
        <w:t>/或其他金融机构</w:t>
      </w:r>
      <w:r>
        <w:rPr>
          <w:rFonts w:hint="eastAsia"/>
          <w:kern w:val="0"/>
          <w:szCs w:val="21"/>
        </w:rPr>
        <w:t>签订的任何其他合同（包括但不限于授信合同、贷款合同或担保合同等）或在其发行的任何债务性质的证券项下违约；</w:t>
      </w:r>
    </w:p>
    <w:p w14:paraId="64D3F24F">
      <w:pPr>
        <w:pStyle w:val="9"/>
        <w:numPr>
          <w:ilvl w:val="0"/>
          <w:numId w:val="16"/>
        </w:numPr>
        <w:spacing w:line="372" w:lineRule="exact"/>
        <w:ind w:left="1218" w:hanging="748" w:firstLineChars="0"/>
        <w:rPr>
          <w:kern w:val="0"/>
          <w:szCs w:val="21"/>
        </w:rPr>
      </w:pPr>
      <w:r>
        <w:rPr>
          <w:rFonts w:hint="eastAsia"/>
          <w:kern w:val="0"/>
          <w:szCs w:val="21"/>
        </w:rPr>
        <w:t>乙方的担保人违反担保合同（包括但不限于保证合同、抵押合同、质押合同）的约定或者发生担保合同项下的违约事项，或者担保合同未生效、无效或被撤销或担保登记手续未按要求完成；担保物价值明显减少、灭失或权属发生争议，或被查封、扣押、冻结、扣划、留置、拍卖等；</w:t>
      </w:r>
    </w:p>
    <w:p w14:paraId="59E0B454">
      <w:pPr>
        <w:pStyle w:val="9"/>
        <w:numPr>
          <w:ilvl w:val="0"/>
          <w:numId w:val="16"/>
        </w:numPr>
        <w:spacing w:line="372" w:lineRule="exact"/>
        <w:ind w:left="1218" w:hanging="748" w:firstLineChars="0"/>
        <w:rPr>
          <w:kern w:val="0"/>
          <w:szCs w:val="21"/>
        </w:rPr>
      </w:pPr>
      <w:r>
        <w:rPr>
          <w:rFonts w:hint="eastAsia"/>
          <w:kern w:val="0"/>
          <w:szCs w:val="21"/>
        </w:rPr>
        <w:t>乙方及/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及/或担保人（如有）向第三方提供担保，对其财务状况或履行本协议项下义务的能力产生重大不利影响；或乙方及/或担保人（如有）出现分立、合并、重大兼并、收购重组、重大资产处置、减资、歇业、停业、停产、停业整顿、清算、改组、被撤销、被解散、破产、或被吊销营业执照等任一情形；或乙方股东或实际控制人发生变动、或本协议第</w:t>
      </w:r>
      <w:r>
        <w:rPr>
          <w:kern w:val="0"/>
          <w:szCs w:val="21"/>
        </w:rPr>
        <w:t>7.8</w:t>
      </w:r>
      <w:r>
        <w:rPr>
          <w:rFonts w:hint="eastAsia"/>
          <w:kern w:val="0"/>
          <w:szCs w:val="21"/>
        </w:rPr>
        <w:t>条所列应通知的任一事项实际发生但未经甲方事先同意，甲方认为前述事项将影响其债权的安全的；</w:t>
      </w:r>
    </w:p>
    <w:p w14:paraId="0B526008">
      <w:pPr>
        <w:pStyle w:val="9"/>
        <w:numPr>
          <w:ilvl w:val="0"/>
          <w:numId w:val="16"/>
        </w:numPr>
        <w:spacing w:line="372" w:lineRule="exact"/>
        <w:ind w:left="1218" w:hanging="748" w:firstLineChars="0"/>
        <w:rPr>
          <w:kern w:val="0"/>
          <w:szCs w:val="21"/>
        </w:rPr>
      </w:pPr>
      <w:r>
        <w:rPr>
          <w:rFonts w:hint="eastAsia"/>
          <w:kern w:val="0"/>
          <w:szCs w:val="21"/>
        </w:rPr>
        <w:t>乙方及/或担保人的经营期限在本授信额度期限内到期，且未办理到期延续手续；</w:t>
      </w:r>
    </w:p>
    <w:p w14:paraId="1D4BD869">
      <w:pPr>
        <w:pStyle w:val="9"/>
        <w:numPr>
          <w:ilvl w:val="0"/>
          <w:numId w:val="16"/>
        </w:numPr>
        <w:spacing w:line="372" w:lineRule="exact"/>
        <w:ind w:left="1218" w:hanging="748" w:firstLineChars="0"/>
        <w:rPr>
          <w:kern w:val="0"/>
          <w:szCs w:val="21"/>
        </w:rPr>
      </w:pPr>
      <w:r>
        <w:rPr>
          <w:rFonts w:hint="eastAsia"/>
          <w:kern w:val="0"/>
          <w:szCs w:val="21"/>
        </w:rPr>
        <w:t>乙方提供的出质票据或其他担保物存在贸易背景虚假或其他不合法情形，可能导致担保不成立或担保物不足值的；</w:t>
      </w:r>
    </w:p>
    <w:p w14:paraId="12336435">
      <w:pPr>
        <w:pStyle w:val="9"/>
        <w:numPr>
          <w:ilvl w:val="0"/>
          <w:numId w:val="16"/>
        </w:numPr>
        <w:spacing w:line="372" w:lineRule="exact"/>
        <w:ind w:left="1218" w:hanging="748" w:firstLineChars="0"/>
        <w:rPr>
          <w:kern w:val="0"/>
          <w:szCs w:val="21"/>
        </w:rPr>
      </w:pPr>
      <w:bookmarkStart w:id="2" w:name="_Hlk525065820"/>
      <w:r>
        <w:rPr>
          <w:rFonts w:hint="eastAsia"/>
          <w:kern w:val="0"/>
          <w:szCs w:val="21"/>
        </w:rPr>
        <w:t>发生其他可能严重影响乙方履行本协议项下义务能力之事件或情形的。</w:t>
      </w:r>
    </w:p>
    <w:bookmarkEnd w:id="2"/>
    <w:p w14:paraId="2FE2B019">
      <w:pPr>
        <w:pStyle w:val="9"/>
        <w:numPr>
          <w:ilvl w:val="1"/>
          <w:numId w:val="15"/>
        </w:numPr>
        <w:spacing w:line="372" w:lineRule="exact"/>
        <w:ind w:firstLineChars="0"/>
        <w:rPr>
          <w:b/>
          <w:bCs/>
          <w:kern w:val="0"/>
          <w:szCs w:val="21"/>
        </w:rPr>
      </w:pPr>
      <w:r>
        <w:rPr>
          <w:rFonts w:hint="eastAsia"/>
          <w:b/>
          <w:kern w:val="0"/>
          <w:szCs w:val="21"/>
        </w:rPr>
        <w:t>发生上述任一违约事件时，甲方有权采取下列</w:t>
      </w:r>
      <w:r>
        <w:rPr>
          <w:rFonts w:hint="eastAsia"/>
          <w:b/>
          <w:bCs/>
          <w:kern w:val="0"/>
          <w:szCs w:val="21"/>
        </w:rPr>
        <w:t>一项或多项</w:t>
      </w:r>
      <w:r>
        <w:rPr>
          <w:rFonts w:hint="eastAsia"/>
          <w:b/>
          <w:kern w:val="0"/>
          <w:szCs w:val="21"/>
        </w:rPr>
        <w:t>措施：</w:t>
      </w:r>
    </w:p>
    <w:p w14:paraId="6BEF6305">
      <w:pPr>
        <w:pStyle w:val="9"/>
        <w:numPr>
          <w:ilvl w:val="0"/>
          <w:numId w:val="17"/>
        </w:numPr>
        <w:spacing w:line="372" w:lineRule="exact"/>
        <w:ind w:left="1218" w:hanging="748" w:firstLineChars="0"/>
        <w:rPr>
          <w:kern w:val="0"/>
          <w:szCs w:val="21"/>
        </w:rPr>
      </w:pPr>
      <w:r>
        <w:rPr>
          <w:rFonts w:hint="eastAsia"/>
          <w:kern w:val="0"/>
          <w:szCs w:val="21"/>
        </w:rPr>
        <w:t>调整、取消或终止本协议项下的授信额度，或调整额度期限、额度金额等授信条件；或暂停发放新的授信或批准新的提款申请；</w:t>
      </w:r>
    </w:p>
    <w:p w14:paraId="2D390DEC">
      <w:pPr>
        <w:pStyle w:val="9"/>
        <w:numPr>
          <w:ilvl w:val="0"/>
          <w:numId w:val="17"/>
        </w:numPr>
        <w:spacing w:line="372" w:lineRule="exact"/>
        <w:ind w:left="1218" w:hanging="748" w:firstLineChars="0"/>
        <w:rPr>
          <w:kern w:val="0"/>
          <w:szCs w:val="21"/>
        </w:rPr>
      </w:pPr>
      <w:r>
        <w:rPr>
          <w:rFonts w:hint="eastAsia"/>
          <w:kern w:val="0"/>
          <w:szCs w:val="21"/>
        </w:rPr>
        <w:t>宣布本额度项下的授信全部或部分立即提前到期，要求乙方立即偿还部分或全部授信本金、利息及费用，并自违约事件发生之日起，对已发放的授信项下债务按罚息利率计收罚息，直至乙方清偿全部授信项下所有债务（包括但不限于本金、利息及相关费用）；为免疑义，前述费用</w:t>
      </w:r>
      <w:r>
        <w:rPr>
          <w:rFonts w:hint="eastAsia"/>
          <w:kern w:val="0"/>
        </w:rPr>
        <w:t>包括但不限于甲方为实现债权产生的所有费用（具体参见本协议第</w:t>
      </w:r>
      <w:r>
        <w:rPr>
          <w:kern w:val="0"/>
        </w:rPr>
        <w:t>9.3</w:t>
      </w:r>
      <w:r>
        <w:rPr>
          <w:rFonts w:hint="eastAsia"/>
          <w:kern w:val="0"/>
        </w:rPr>
        <w:t>条）；</w:t>
      </w:r>
    </w:p>
    <w:p w14:paraId="402CC6DF">
      <w:pPr>
        <w:pStyle w:val="9"/>
        <w:numPr>
          <w:ilvl w:val="0"/>
          <w:numId w:val="17"/>
        </w:numPr>
        <w:spacing w:line="372" w:lineRule="exact"/>
        <w:ind w:left="1218" w:hanging="748" w:firstLineChars="0"/>
        <w:rPr>
          <w:b/>
          <w:kern w:val="0"/>
          <w:szCs w:val="21"/>
        </w:rPr>
      </w:pPr>
      <w:r>
        <w:rPr>
          <w:rFonts w:hint="eastAsia"/>
          <w:b/>
          <w:kern w:val="0"/>
          <w:szCs w:val="21"/>
        </w:rPr>
        <w:t>就尚未到期的承兑、保函、备用证、信用证等表外授信业务（包括委托转开的情形），甲方有权要求乙方立即向甲方足额交存保证金至授信金额的</w:t>
      </w:r>
      <w:r>
        <w:rPr>
          <w:b/>
          <w:kern w:val="0"/>
          <w:szCs w:val="21"/>
        </w:rPr>
        <w:t>100%</w:t>
      </w:r>
      <w:r>
        <w:rPr>
          <w:rFonts w:hint="eastAsia"/>
          <w:b/>
          <w:kern w:val="0"/>
          <w:szCs w:val="21"/>
        </w:rPr>
        <w:t>以备对外支付；</w:t>
      </w:r>
    </w:p>
    <w:p w14:paraId="7DBE45F7">
      <w:pPr>
        <w:pStyle w:val="9"/>
        <w:numPr>
          <w:ilvl w:val="0"/>
          <w:numId w:val="17"/>
        </w:numPr>
        <w:spacing w:line="372" w:lineRule="exact"/>
        <w:ind w:left="1218" w:hanging="748" w:firstLineChars="0"/>
        <w:rPr>
          <w:kern w:val="0"/>
          <w:szCs w:val="21"/>
        </w:rPr>
      </w:pPr>
      <w:r>
        <w:rPr>
          <w:rFonts w:hint="eastAsia"/>
          <w:kern w:val="0"/>
          <w:szCs w:val="21"/>
        </w:rPr>
        <w:t>要求乙方提供甲方认可的新的担保措施；</w:t>
      </w:r>
    </w:p>
    <w:p w14:paraId="5B15CB76">
      <w:pPr>
        <w:pStyle w:val="9"/>
        <w:numPr>
          <w:ilvl w:val="0"/>
          <w:numId w:val="17"/>
        </w:numPr>
        <w:spacing w:line="372" w:lineRule="exact"/>
        <w:ind w:left="1218" w:hanging="748" w:firstLineChars="0"/>
        <w:rPr>
          <w:b/>
          <w:kern w:val="0"/>
          <w:szCs w:val="21"/>
        </w:rPr>
      </w:pPr>
      <w:r>
        <w:rPr>
          <w:rFonts w:hint="eastAsia"/>
          <w:b/>
          <w:kern w:val="0"/>
          <w:szCs w:val="21"/>
        </w:rPr>
        <w:t>有权直接从乙方或相关担保方账户上扣款，以清偿乙方在本协议及</w:t>
      </w:r>
      <w:r>
        <w:rPr>
          <w:b/>
          <w:kern w:val="0"/>
          <w:szCs w:val="21"/>
        </w:rPr>
        <w:t>/</w:t>
      </w:r>
      <w:r>
        <w:rPr>
          <w:rFonts w:hint="eastAsia"/>
          <w:b/>
          <w:kern w:val="0"/>
          <w:szCs w:val="21"/>
        </w:rPr>
        <w:t>或各具体业务合同项下的全部或部分债务（包括甲方要求提前清偿的债务），而无须事先征得乙方及/或相关方的同意；</w:t>
      </w:r>
    </w:p>
    <w:p w14:paraId="3FCA9D07">
      <w:pPr>
        <w:pStyle w:val="9"/>
        <w:numPr>
          <w:ilvl w:val="0"/>
          <w:numId w:val="17"/>
        </w:numPr>
        <w:spacing w:line="372" w:lineRule="exact"/>
        <w:ind w:left="1218" w:hanging="748" w:firstLineChars="0"/>
        <w:rPr>
          <w:kern w:val="0"/>
          <w:szCs w:val="21"/>
        </w:rPr>
      </w:pPr>
      <w:r>
        <w:rPr>
          <w:rFonts w:hint="eastAsia"/>
          <w:kern w:val="0"/>
          <w:szCs w:val="21"/>
        </w:rPr>
        <w:t>有权行使相关担保权利，包括但不限于要求保证人立即履行保证责任，或通过依法处分抵押物及</w:t>
      </w:r>
      <w:r>
        <w:rPr>
          <w:kern w:val="0"/>
          <w:szCs w:val="21"/>
        </w:rPr>
        <w:t>/</w:t>
      </w:r>
      <w:r>
        <w:rPr>
          <w:rFonts w:hint="eastAsia"/>
          <w:kern w:val="0"/>
          <w:szCs w:val="21"/>
        </w:rPr>
        <w:t>或质物实现担保权利；</w:t>
      </w:r>
    </w:p>
    <w:p w14:paraId="1387E9E6">
      <w:pPr>
        <w:pStyle w:val="9"/>
        <w:numPr>
          <w:ilvl w:val="0"/>
          <w:numId w:val="17"/>
        </w:numPr>
        <w:spacing w:line="372" w:lineRule="exact"/>
        <w:ind w:left="1218" w:hanging="748" w:firstLineChars="0"/>
        <w:rPr>
          <w:kern w:val="0"/>
          <w:szCs w:val="21"/>
        </w:rPr>
      </w:pPr>
      <w:r>
        <w:rPr>
          <w:rFonts w:hint="eastAsia"/>
          <w:kern w:val="0"/>
          <w:szCs w:val="21"/>
        </w:rPr>
        <w:t>甲方依法向乙方的债务人主张代位求偿权，或请求法院撤销乙方放弃其到期债权或者无偿转让财产、以明显不合理低价转让财产的行为，乙方需按照甲方的要求提供一切必要配合与协助，甲方由此产生的各项费用由乙方承担；</w:t>
      </w:r>
    </w:p>
    <w:p w14:paraId="3B593803">
      <w:pPr>
        <w:pStyle w:val="9"/>
        <w:numPr>
          <w:ilvl w:val="0"/>
          <w:numId w:val="17"/>
        </w:numPr>
        <w:spacing w:line="372" w:lineRule="exact"/>
        <w:ind w:left="1218" w:hanging="748" w:firstLineChars="0"/>
        <w:rPr>
          <w:kern w:val="0"/>
          <w:szCs w:val="21"/>
        </w:rPr>
      </w:pPr>
      <w:r>
        <w:rPr>
          <w:rFonts w:hint="eastAsia"/>
          <w:kern w:val="0"/>
          <w:szCs w:val="21"/>
        </w:rPr>
        <w:t>采取法律允许或合同约定的其他救济措施。</w:t>
      </w:r>
    </w:p>
    <w:p w14:paraId="3C83EAF3">
      <w:pPr>
        <w:pStyle w:val="9"/>
        <w:numPr>
          <w:ilvl w:val="1"/>
          <w:numId w:val="15"/>
        </w:numPr>
        <w:spacing w:line="372" w:lineRule="exact"/>
        <w:ind w:firstLineChars="0"/>
        <w:rPr>
          <w:b/>
          <w:kern w:val="0"/>
          <w:szCs w:val="21"/>
        </w:rPr>
      </w:pPr>
      <w:r>
        <w:rPr>
          <w:rFonts w:hint="eastAsia"/>
          <w:b/>
          <w:kern w:val="0"/>
          <w:szCs w:val="21"/>
        </w:rPr>
        <w:t>本协议项下“实现债权的费用”是指，乙方未按期偿还甲方在本协议项下任何债务，导致甲方为催收等所产生或所需的合理费用，包括但不限于公告、公证、送达、鉴定费、律师费、诉讼费、仲裁费、差旅费、评估费、拍卖费、财产保全费、强制执行费、过户费等。本协议项下甲方“实现债权的费用”均由乙方负担。</w:t>
      </w:r>
    </w:p>
    <w:p w14:paraId="3709FAC2">
      <w:pPr>
        <w:pStyle w:val="9"/>
        <w:spacing w:line="372" w:lineRule="exact"/>
        <w:ind w:left="531" w:firstLine="0" w:firstLineChars="0"/>
        <w:rPr>
          <w:kern w:val="0"/>
          <w:szCs w:val="21"/>
        </w:rPr>
      </w:pPr>
    </w:p>
    <w:p w14:paraId="4817FB8A">
      <w:pPr>
        <w:pStyle w:val="9"/>
        <w:numPr>
          <w:ilvl w:val="0"/>
          <w:numId w:val="1"/>
        </w:numPr>
        <w:spacing w:line="372" w:lineRule="exact"/>
        <w:ind w:firstLineChars="0"/>
        <w:jc w:val="center"/>
        <w:outlineLvl w:val="0"/>
        <w:rPr>
          <w:b/>
          <w:bCs/>
          <w:kern w:val="0"/>
          <w:szCs w:val="21"/>
        </w:rPr>
      </w:pPr>
      <w:r>
        <w:rPr>
          <w:rFonts w:hint="eastAsia"/>
          <w:b/>
          <w:bCs/>
          <w:kern w:val="0"/>
          <w:szCs w:val="21"/>
        </w:rPr>
        <w:t>通知和送达</w:t>
      </w:r>
    </w:p>
    <w:p w14:paraId="36A31A54">
      <w:pPr>
        <w:pStyle w:val="9"/>
        <w:numPr>
          <w:ilvl w:val="1"/>
          <w:numId w:val="18"/>
        </w:numPr>
        <w:spacing w:line="372" w:lineRule="exact"/>
        <w:ind w:firstLineChars="0"/>
        <w:rPr>
          <w:rFonts w:asciiTheme="majorEastAsia" w:hAnsiTheme="majorEastAsia" w:eastAsiaTheme="majorEastAsia"/>
          <w:b/>
          <w:bCs/>
          <w:kern w:val="0"/>
          <w:szCs w:val="21"/>
        </w:rPr>
      </w:pPr>
      <w:r>
        <w:rPr>
          <w:rFonts w:hint="eastAsia" w:asciiTheme="majorEastAsia" w:hAnsiTheme="majorEastAsia" w:eastAsiaTheme="majorEastAsia"/>
          <w:b/>
          <w:bCs/>
          <w:kern w:val="0"/>
          <w:szCs w:val="21"/>
        </w:rPr>
        <w:t>关于通知和送达约定条款</w:t>
      </w:r>
    </w:p>
    <w:p w14:paraId="26CF2355">
      <w:pPr>
        <w:numPr>
          <w:ilvl w:val="0"/>
          <w:numId w:val="19"/>
        </w:numPr>
        <w:spacing w:line="372" w:lineRule="exact"/>
        <w:ind w:left="535" w:hanging="535" w:hangingChars="254"/>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通知和送达原则。本协议一方按照本协议条款发往任何其他方的任何通知、请求或其他文件，应当以书面形式（包括电子邮件形式）发给该任何其他方。各方指定的最初联系地址、电话、传真、邮箱以及联系人（如有）在本协议文首列明。</w:t>
      </w:r>
    </w:p>
    <w:p w14:paraId="701EF40F">
      <w:pPr>
        <w:numPr>
          <w:ilvl w:val="0"/>
          <w:numId w:val="19"/>
        </w:numPr>
        <w:spacing w:line="372" w:lineRule="exact"/>
        <w:ind w:left="535" w:hanging="535" w:hangingChars="254"/>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本协议各方之间按照本协议条款进行的任何通讯应当在满足下列条件后视为已送达：</w:t>
      </w:r>
    </w:p>
    <w:p w14:paraId="4B847498">
      <w:pPr>
        <w:pStyle w:val="9"/>
        <w:numPr>
          <w:ilvl w:val="0"/>
          <w:numId w:val="20"/>
        </w:numPr>
        <w:spacing w:line="372" w:lineRule="exact"/>
        <w:ind w:left="1134" w:hanging="644" w:firstLineChars="0"/>
        <w:rPr>
          <w:rFonts w:asciiTheme="majorEastAsia" w:hAnsiTheme="majorEastAsia" w:eastAsiaTheme="majorEastAsia"/>
          <w:b/>
          <w:bCs/>
          <w:kern w:val="0"/>
          <w:szCs w:val="21"/>
        </w:rPr>
      </w:pPr>
      <w:r>
        <w:rPr>
          <w:rFonts w:hint="eastAsia" w:asciiTheme="majorEastAsia" w:hAnsiTheme="majorEastAsia" w:eastAsiaTheme="majorEastAsia"/>
          <w:b/>
          <w:bCs/>
          <w:kern w:val="0"/>
          <w:szCs w:val="21"/>
        </w:rPr>
        <w:t>如通过人员递送，在收件方签收时视为送达；</w:t>
      </w:r>
    </w:p>
    <w:p w14:paraId="35E99386">
      <w:pPr>
        <w:pStyle w:val="9"/>
        <w:numPr>
          <w:ilvl w:val="0"/>
          <w:numId w:val="20"/>
        </w:numPr>
        <w:spacing w:line="372" w:lineRule="exact"/>
        <w:ind w:left="1134" w:hanging="644" w:firstLineChars="0"/>
        <w:rPr>
          <w:rFonts w:asciiTheme="majorEastAsia" w:hAnsiTheme="majorEastAsia" w:eastAsiaTheme="majorEastAsia"/>
          <w:b/>
          <w:bCs/>
          <w:kern w:val="0"/>
          <w:szCs w:val="21"/>
        </w:rPr>
      </w:pPr>
      <w:r>
        <w:rPr>
          <w:rFonts w:hint="eastAsia" w:asciiTheme="majorEastAsia" w:hAnsiTheme="majorEastAsia" w:eastAsiaTheme="majorEastAsia"/>
          <w:b/>
          <w:bCs/>
          <w:kern w:val="0"/>
          <w:szCs w:val="21"/>
        </w:rPr>
        <w:t>如以电传或传真传送，在传送完成并收到正确回号或传真报告时视为送达；</w:t>
      </w:r>
    </w:p>
    <w:p w14:paraId="18F508B4">
      <w:pPr>
        <w:pStyle w:val="9"/>
        <w:numPr>
          <w:ilvl w:val="0"/>
          <w:numId w:val="20"/>
        </w:numPr>
        <w:spacing w:line="372" w:lineRule="exact"/>
        <w:ind w:left="1134" w:hanging="644" w:firstLineChars="0"/>
        <w:rPr>
          <w:rFonts w:asciiTheme="majorEastAsia" w:hAnsiTheme="majorEastAsia" w:eastAsiaTheme="majorEastAsia"/>
          <w:b/>
          <w:bCs/>
          <w:kern w:val="0"/>
          <w:szCs w:val="21"/>
        </w:rPr>
      </w:pPr>
      <w:r>
        <w:rPr>
          <w:rFonts w:hint="eastAsia" w:asciiTheme="majorEastAsia" w:hAnsiTheme="majorEastAsia" w:eastAsiaTheme="majorEastAsia"/>
          <w:b/>
          <w:bCs/>
          <w:kern w:val="0"/>
          <w:szCs w:val="21"/>
        </w:rPr>
        <w:t>如电子邮件传送，在电子邮件发出时视为送达；</w:t>
      </w:r>
    </w:p>
    <w:p w14:paraId="4A403235">
      <w:pPr>
        <w:pStyle w:val="9"/>
        <w:numPr>
          <w:ilvl w:val="0"/>
          <w:numId w:val="20"/>
        </w:numPr>
        <w:spacing w:line="372" w:lineRule="exact"/>
        <w:ind w:left="1134" w:hanging="644" w:firstLineChars="0"/>
        <w:rPr>
          <w:rFonts w:asciiTheme="majorEastAsia" w:hAnsiTheme="majorEastAsia" w:eastAsiaTheme="majorEastAsia"/>
          <w:b/>
          <w:bCs/>
          <w:kern w:val="0"/>
          <w:szCs w:val="21"/>
        </w:rPr>
      </w:pPr>
      <w:r>
        <w:rPr>
          <w:rFonts w:hint="eastAsia" w:asciiTheme="majorEastAsia" w:hAnsiTheme="majorEastAsia" w:eastAsiaTheme="majorEastAsia"/>
          <w:b/>
          <w:bCs/>
          <w:kern w:val="0"/>
          <w:szCs w:val="21"/>
        </w:rPr>
        <w:t>如以信函方式邮寄，以交付投递后的第七日视为送达；</w:t>
      </w:r>
    </w:p>
    <w:p w14:paraId="56C37EC8">
      <w:pPr>
        <w:spacing w:line="372" w:lineRule="exact"/>
        <w:ind w:left="535"/>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3E4ABC25">
      <w:pPr>
        <w:numPr>
          <w:ilvl w:val="0"/>
          <w:numId w:val="19"/>
        </w:numPr>
        <w:spacing w:line="372" w:lineRule="exact"/>
        <w:ind w:left="535" w:hanging="535" w:hangingChars="254"/>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本协议约定的各方地址适用于各方各类通知、协议等文件以及就合同发生纠纷时相关文件和法律文书的送达，同时包括在争议进入仲裁、民事诉讼程序后的一审、二审、再审和执行程序。</w:t>
      </w:r>
    </w:p>
    <w:p w14:paraId="413E988D">
      <w:pPr>
        <w:numPr>
          <w:ilvl w:val="0"/>
          <w:numId w:val="19"/>
        </w:numPr>
        <w:spacing w:line="372" w:lineRule="exact"/>
        <w:ind w:left="535" w:hanging="535" w:hangingChars="254"/>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协议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12111675">
      <w:pPr>
        <w:numPr>
          <w:ilvl w:val="0"/>
          <w:numId w:val="19"/>
        </w:numPr>
        <w:spacing w:line="372" w:lineRule="exact"/>
        <w:ind w:left="535" w:hanging="535" w:hangingChars="254"/>
        <w:rPr>
          <w:rFonts w:asciiTheme="majorEastAsia" w:hAnsiTheme="majorEastAsia" w:eastAsiaTheme="majorEastAsia"/>
          <w:b/>
          <w:bCs/>
          <w:kern w:val="0"/>
          <w:sz w:val="21"/>
          <w:szCs w:val="21"/>
        </w:rPr>
      </w:pPr>
      <w:r>
        <w:rPr>
          <w:rFonts w:hint="eastAsia" w:asciiTheme="majorEastAsia" w:hAnsiTheme="majorEastAsia" w:eastAsiaTheme="majorEastAsia"/>
          <w:b/>
          <w:bCs/>
          <w:kern w:val="0"/>
          <w:sz w:val="21"/>
          <w:szCs w:val="21"/>
        </w:rPr>
        <w:t>本协议就通过线上系统开展业务时的线上通知或送达另有特别约定的，按特别约定执行。</w:t>
      </w:r>
    </w:p>
    <w:p w14:paraId="5F626133">
      <w:pPr>
        <w:spacing w:line="372" w:lineRule="exact"/>
        <w:rPr>
          <w:rFonts w:asciiTheme="majorEastAsia" w:hAnsiTheme="majorEastAsia" w:eastAsiaTheme="majorEastAsia"/>
          <w:kern w:val="0"/>
          <w:sz w:val="21"/>
          <w:szCs w:val="21"/>
        </w:rPr>
      </w:pPr>
    </w:p>
    <w:p w14:paraId="0DC1C721">
      <w:pPr>
        <w:pStyle w:val="9"/>
        <w:numPr>
          <w:ilvl w:val="0"/>
          <w:numId w:val="1"/>
        </w:numPr>
        <w:spacing w:line="372" w:lineRule="exact"/>
        <w:ind w:firstLineChars="0"/>
        <w:jc w:val="center"/>
        <w:outlineLvl w:val="0"/>
        <w:rPr>
          <w:b/>
          <w:bCs/>
          <w:kern w:val="0"/>
          <w:szCs w:val="21"/>
        </w:rPr>
      </w:pPr>
      <w:r>
        <w:rPr>
          <w:rFonts w:hint="eastAsia"/>
          <w:b/>
          <w:bCs/>
          <w:kern w:val="0"/>
          <w:szCs w:val="21"/>
        </w:rPr>
        <w:t>扣收约定</w:t>
      </w:r>
    </w:p>
    <w:p w14:paraId="752A5ADA">
      <w:pPr>
        <w:pStyle w:val="9"/>
        <w:numPr>
          <w:ilvl w:val="1"/>
          <w:numId w:val="21"/>
        </w:numPr>
        <w:spacing w:line="372" w:lineRule="exact"/>
        <w:ind w:firstLineChars="0"/>
        <w:rPr>
          <w:b/>
          <w:bCs/>
          <w:kern w:val="0"/>
          <w:szCs w:val="21"/>
        </w:rPr>
      </w:pPr>
      <w:r>
        <w:rPr>
          <w:rFonts w:hint="eastAsia"/>
          <w:b/>
          <w:bCs/>
          <w:kern w:val="0"/>
          <w:szCs w:val="21"/>
        </w:rPr>
        <w:t>乙方在此不可撤销地同意，当乙方欠付甲方任何到期</w:t>
      </w:r>
      <w:r>
        <w:rPr>
          <w:rFonts w:hint="eastAsia"/>
          <w:b/>
          <w:kern w:val="0"/>
          <w:szCs w:val="21"/>
        </w:rPr>
        <w:t>（包括提前到期的情形）</w:t>
      </w:r>
      <w:r>
        <w:rPr>
          <w:rFonts w:hint="eastAsia"/>
          <w:b/>
          <w:bCs/>
          <w:kern w:val="0"/>
          <w:szCs w:val="21"/>
        </w:rPr>
        <w:t>应付未付债务时，甲方有权随时从乙方在平安银行任何及</w:t>
      </w:r>
      <w:r>
        <w:rPr>
          <w:b/>
          <w:bCs/>
          <w:kern w:val="0"/>
          <w:szCs w:val="21"/>
        </w:rPr>
        <w:t>/</w:t>
      </w:r>
      <w:r>
        <w:rPr>
          <w:rFonts w:hint="eastAsia"/>
          <w:b/>
          <w:bCs/>
          <w:kern w:val="0"/>
          <w:szCs w:val="21"/>
        </w:rPr>
        <w:t>或所有营业机构开立的任一账户中直接扣收该等债务本息及</w:t>
      </w:r>
      <w:r>
        <w:rPr>
          <w:b/>
          <w:bCs/>
          <w:kern w:val="0"/>
          <w:szCs w:val="21"/>
        </w:rPr>
        <w:t>/</w:t>
      </w:r>
      <w:r>
        <w:rPr>
          <w:rFonts w:hint="eastAsia"/>
          <w:b/>
          <w:bCs/>
          <w:kern w:val="0"/>
          <w:szCs w:val="21"/>
        </w:rPr>
        <w:t>或其他任何相关费用之全部或部分，及</w:t>
      </w:r>
      <w:r>
        <w:rPr>
          <w:b/>
          <w:bCs/>
          <w:kern w:val="0"/>
          <w:szCs w:val="21"/>
        </w:rPr>
        <w:t>/</w:t>
      </w:r>
      <w:r>
        <w:rPr>
          <w:rFonts w:hint="eastAsia"/>
          <w:b/>
          <w:bCs/>
          <w:kern w:val="0"/>
          <w:szCs w:val="21"/>
        </w:rPr>
        <w:t>或处置变现该等账户中的乙方资产用于清偿所欠甲方债务；由此产生的利息、汇率及</w:t>
      </w:r>
      <w:r>
        <w:rPr>
          <w:b/>
          <w:bCs/>
          <w:kern w:val="0"/>
          <w:szCs w:val="21"/>
        </w:rPr>
        <w:t>/</w:t>
      </w:r>
      <w:r>
        <w:rPr>
          <w:rFonts w:hint="eastAsia"/>
          <w:b/>
          <w:bCs/>
          <w:kern w:val="0"/>
          <w:szCs w:val="21"/>
        </w:rPr>
        <w:t>或投资损失由乙方承担。</w:t>
      </w:r>
    </w:p>
    <w:p w14:paraId="46076ADF">
      <w:pPr>
        <w:pStyle w:val="9"/>
        <w:numPr>
          <w:ilvl w:val="1"/>
          <w:numId w:val="21"/>
        </w:numPr>
        <w:spacing w:line="372" w:lineRule="exact"/>
        <w:ind w:firstLineChars="0"/>
        <w:rPr>
          <w:b/>
          <w:bCs/>
          <w:kern w:val="0"/>
          <w:szCs w:val="21"/>
        </w:rPr>
      </w:pPr>
      <w:r>
        <w:rPr>
          <w:rFonts w:hint="eastAsia"/>
          <w:b/>
          <w:bCs/>
          <w:kern w:val="0"/>
          <w:szCs w:val="21"/>
        </w:rPr>
        <w:t>甲方在扣收或处置变现扣收后通知乙方，并有权继续向乙方追索不足部分（若有）；扣收所得款项涉及多笔债权或不足以清偿全部到期债务（包括本金、利息及</w:t>
      </w:r>
      <w:r>
        <w:rPr>
          <w:b/>
          <w:bCs/>
          <w:kern w:val="0"/>
          <w:szCs w:val="21"/>
        </w:rPr>
        <w:t>/</w:t>
      </w:r>
      <w:r>
        <w:rPr>
          <w:rFonts w:hint="eastAsia"/>
          <w:b/>
          <w:bCs/>
          <w:kern w:val="0"/>
          <w:szCs w:val="21"/>
        </w:rPr>
        <w:t>或费用）时，除非本协议另有明确规定，甲方有权决定所扣收款项的具体清偿顺序。</w:t>
      </w:r>
    </w:p>
    <w:p w14:paraId="791A828F">
      <w:pPr>
        <w:pStyle w:val="9"/>
        <w:numPr>
          <w:ilvl w:val="1"/>
          <w:numId w:val="21"/>
        </w:numPr>
        <w:spacing w:line="372" w:lineRule="exact"/>
        <w:ind w:firstLineChars="0"/>
        <w:rPr>
          <w:b/>
          <w:bCs/>
          <w:kern w:val="0"/>
          <w:szCs w:val="21"/>
        </w:rPr>
      </w:pPr>
      <w:r>
        <w:rPr>
          <w:rFonts w:hint="eastAsia"/>
          <w:b/>
          <w:bCs/>
          <w:kern w:val="0"/>
          <w:szCs w:val="21"/>
        </w:rPr>
        <w:t>扣收过程中涉及币种换算的，按甲方扣收时公布的外汇汇率执行。</w:t>
      </w:r>
    </w:p>
    <w:p w14:paraId="6C4056CE">
      <w:pPr>
        <w:spacing w:line="372" w:lineRule="exact"/>
        <w:rPr>
          <w:rFonts w:eastAsia="宋体"/>
          <w:kern w:val="0"/>
          <w:sz w:val="21"/>
          <w:szCs w:val="21"/>
        </w:rPr>
      </w:pPr>
      <w:bookmarkStart w:id="3" w:name="_Hlk43497730"/>
    </w:p>
    <w:p w14:paraId="394A13C2">
      <w:pPr>
        <w:pStyle w:val="9"/>
        <w:numPr>
          <w:ilvl w:val="0"/>
          <w:numId w:val="1"/>
        </w:numPr>
        <w:spacing w:line="372" w:lineRule="exact"/>
        <w:ind w:firstLineChars="0"/>
        <w:jc w:val="center"/>
        <w:outlineLvl w:val="0"/>
        <w:rPr>
          <w:b/>
          <w:bCs/>
          <w:kern w:val="0"/>
          <w:szCs w:val="21"/>
        </w:rPr>
      </w:pPr>
      <w:bookmarkStart w:id="4" w:name="_Hlk43497949"/>
      <w:bookmarkStart w:id="5" w:name="_Hlk43496051"/>
      <w:r>
        <w:rPr>
          <w:rFonts w:hint="eastAsia"/>
          <w:b/>
          <w:bCs/>
          <w:kern w:val="0"/>
          <w:szCs w:val="21"/>
        </w:rPr>
        <w:t>其他约定（若有，如无约定请划去）</w:t>
      </w:r>
    </w:p>
    <w:p w14:paraId="3EC406DC">
      <w:pPr>
        <w:spacing w:line="372" w:lineRule="exact"/>
        <w:rPr>
          <w:rFonts w:eastAsia="宋体"/>
          <w:kern w:val="0"/>
          <w:sz w:val="21"/>
          <w:szCs w:val="21"/>
        </w:rPr>
      </w:pPr>
      <w:r>
        <w:rPr>
          <w:rFonts w:hint="eastAsia" w:eastAsia="宋体"/>
          <w:kern w:val="0"/>
          <w:sz w:val="21"/>
          <w:szCs w:val="21"/>
        </w:rPr>
        <w:t>_</w:t>
      </w:r>
      <w:r>
        <w:rPr>
          <w:rFonts w:eastAsia="宋体"/>
          <w:kern w:val="0"/>
          <w:sz w:val="21"/>
          <w:szCs w:val="21"/>
        </w:rPr>
        <w:t>______________________________________________________________________________</w:t>
      </w:r>
    </w:p>
    <w:p w14:paraId="7759647F">
      <w:pPr>
        <w:spacing w:line="372" w:lineRule="exact"/>
        <w:rPr>
          <w:rFonts w:eastAsia="宋体"/>
          <w:kern w:val="0"/>
          <w:sz w:val="21"/>
          <w:szCs w:val="21"/>
        </w:rPr>
      </w:pPr>
      <w:r>
        <w:rPr>
          <w:rFonts w:hint="eastAsia" w:eastAsia="宋体"/>
          <w:kern w:val="0"/>
          <w:sz w:val="21"/>
          <w:szCs w:val="21"/>
        </w:rPr>
        <w:t>_</w:t>
      </w:r>
      <w:r>
        <w:rPr>
          <w:rFonts w:eastAsia="宋体"/>
          <w:kern w:val="0"/>
          <w:sz w:val="21"/>
          <w:szCs w:val="21"/>
        </w:rPr>
        <w:t>______________________________________________________________________________</w:t>
      </w:r>
    </w:p>
    <w:p w14:paraId="6DE3F734">
      <w:pPr>
        <w:spacing w:line="372" w:lineRule="exact"/>
        <w:rPr>
          <w:rFonts w:eastAsia="宋体"/>
          <w:kern w:val="0"/>
          <w:sz w:val="21"/>
          <w:szCs w:val="21"/>
        </w:rPr>
      </w:pPr>
      <w:r>
        <w:rPr>
          <w:rFonts w:hint="eastAsia" w:eastAsia="宋体"/>
          <w:kern w:val="0"/>
          <w:sz w:val="21"/>
          <w:szCs w:val="21"/>
        </w:rPr>
        <w:t>_</w:t>
      </w:r>
      <w:r>
        <w:rPr>
          <w:rFonts w:eastAsia="宋体"/>
          <w:kern w:val="0"/>
          <w:sz w:val="21"/>
          <w:szCs w:val="21"/>
        </w:rPr>
        <w:t>______________________________________________________________________________</w:t>
      </w:r>
    </w:p>
    <w:p w14:paraId="1E397B08">
      <w:pPr>
        <w:spacing w:line="372" w:lineRule="exact"/>
        <w:rPr>
          <w:rFonts w:eastAsia="宋体"/>
          <w:kern w:val="0"/>
          <w:sz w:val="21"/>
          <w:szCs w:val="21"/>
        </w:rPr>
      </w:pPr>
      <w:r>
        <w:rPr>
          <w:rFonts w:hint="eastAsia" w:eastAsia="宋体"/>
          <w:kern w:val="0"/>
          <w:sz w:val="21"/>
          <w:szCs w:val="21"/>
        </w:rPr>
        <w:t>_</w:t>
      </w:r>
      <w:r>
        <w:rPr>
          <w:rFonts w:eastAsia="宋体"/>
          <w:kern w:val="0"/>
          <w:sz w:val="21"/>
          <w:szCs w:val="21"/>
        </w:rPr>
        <w:t>______________________________________________________________________________</w:t>
      </w:r>
    </w:p>
    <w:p w14:paraId="4BD11C9A">
      <w:pPr>
        <w:spacing w:line="372" w:lineRule="exact"/>
        <w:rPr>
          <w:rFonts w:eastAsia="宋体"/>
          <w:kern w:val="0"/>
          <w:sz w:val="21"/>
          <w:szCs w:val="21"/>
        </w:rPr>
      </w:pPr>
      <w:r>
        <w:rPr>
          <w:rFonts w:hint="eastAsia" w:eastAsia="宋体"/>
          <w:kern w:val="0"/>
          <w:sz w:val="21"/>
          <w:szCs w:val="21"/>
        </w:rPr>
        <w:t>_</w:t>
      </w:r>
      <w:r>
        <w:rPr>
          <w:rFonts w:eastAsia="宋体"/>
          <w:kern w:val="0"/>
          <w:sz w:val="21"/>
          <w:szCs w:val="21"/>
        </w:rPr>
        <w:t>______________________________________________________________________________</w:t>
      </w:r>
    </w:p>
    <w:bookmarkEnd w:id="3"/>
    <w:bookmarkEnd w:id="4"/>
    <w:p w14:paraId="651AD83E">
      <w:pPr>
        <w:spacing w:line="372" w:lineRule="exact"/>
        <w:rPr>
          <w:rFonts w:eastAsia="宋体"/>
          <w:kern w:val="0"/>
          <w:sz w:val="21"/>
          <w:szCs w:val="21"/>
        </w:rPr>
      </w:pPr>
    </w:p>
    <w:bookmarkEnd w:id="5"/>
    <w:p w14:paraId="75B94C81">
      <w:pPr>
        <w:pStyle w:val="9"/>
        <w:numPr>
          <w:ilvl w:val="0"/>
          <w:numId w:val="1"/>
        </w:numPr>
        <w:spacing w:line="372" w:lineRule="exact"/>
        <w:ind w:firstLineChars="0"/>
        <w:jc w:val="center"/>
        <w:outlineLvl w:val="0"/>
        <w:rPr>
          <w:b/>
          <w:bCs/>
          <w:kern w:val="0"/>
          <w:szCs w:val="21"/>
        </w:rPr>
      </w:pPr>
      <w:r>
        <w:rPr>
          <w:rFonts w:hint="eastAsia"/>
          <w:b/>
          <w:bCs/>
          <w:kern w:val="0"/>
          <w:szCs w:val="21"/>
        </w:rPr>
        <w:t>附则</w:t>
      </w:r>
    </w:p>
    <w:p w14:paraId="380D9A02">
      <w:pPr>
        <w:pStyle w:val="9"/>
        <w:numPr>
          <w:ilvl w:val="1"/>
          <w:numId w:val="22"/>
        </w:numPr>
        <w:spacing w:line="372" w:lineRule="exact"/>
        <w:ind w:firstLineChars="0"/>
        <w:rPr>
          <w:kern w:val="0"/>
          <w:szCs w:val="21"/>
        </w:rPr>
      </w:pPr>
      <w:r>
        <w:rPr>
          <w:rFonts w:hint="eastAsia"/>
          <w:kern w:val="0"/>
          <w:szCs w:val="21"/>
        </w:rPr>
        <w:t>本协议项下提及的“到期”或期限“届满”包括自然到期以及甲方宣布提前到期的情形；本协议项下提及“利息”时，除非根据上下文意另有所指，应视为包括正常利息、逾期罚息、挪用罚息、复利（如有）；本协议中规定的日期或期间的最后一日遇法定节假日的，除非本协议另有相关约定，否则应顺延至法定节假日后的第一个工作日。</w:t>
      </w:r>
    </w:p>
    <w:p w14:paraId="734DADB8">
      <w:pPr>
        <w:pStyle w:val="9"/>
        <w:numPr>
          <w:ilvl w:val="1"/>
          <w:numId w:val="22"/>
        </w:numPr>
        <w:spacing w:line="372" w:lineRule="exact"/>
        <w:ind w:firstLineChars="0"/>
        <w:rPr>
          <w:kern w:val="0"/>
          <w:szCs w:val="21"/>
        </w:rPr>
      </w:pPr>
      <w:r>
        <w:rPr>
          <w:rFonts w:hint="eastAsia"/>
          <w:kern w:val="0"/>
          <w:szCs w:val="21"/>
        </w:rPr>
        <w:t>有关公证的特别约定：</w:t>
      </w:r>
    </w:p>
    <w:p w14:paraId="0FC5A2F6">
      <w:pPr>
        <w:pStyle w:val="9"/>
        <w:tabs>
          <w:tab w:val="left" w:pos="1134"/>
        </w:tabs>
        <w:spacing w:line="372" w:lineRule="exact"/>
        <w:ind w:left="531" w:firstLine="0" w:firstLineChars="0"/>
        <w:rPr>
          <w:kern w:val="0"/>
          <w:szCs w:val="21"/>
        </w:rPr>
      </w:pPr>
      <w:bookmarkStart w:id="6" w:name="_Hlk525121711"/>
      <w:r>
        <w:rPr>
          <w:rFonts w:hint="eastAsia"/>
          <w:kern w:val="0"/>
          <w:szCs w:val="21"/>
        </w:rPr>
        <w:t>□</w:t>
      </w:r>
      <w:r>
        <w:rPr>
          <w:kern w:val="0"/>
          <w:szCs w:val="21"/>
        </w:rPr>
        <w:tab/>
      </w:r>
      <w:r>
        <w:rPr>
          <w:rFonts w:hint="eastAsia"/>
          <w:kern w:val="0"/>
          <w:szCs w:val="21"/>
        </w:rPr>
        <w:t>双方同意对本协议办理强制执行公证。</w:t>
      </w:r>
    </w:p>
    <w:bookmarkEnd w:id="6"/>
    <w:p w14:paraId="3F608834">
      <w:pPr>
        <w:pStyle w:val="9"/>
        <w:spacing w:line="372" w:lineRule="exact"/>
        <w:ind w:left="1134" w:firstLine="0" w:firstLineChars="0"/>
        <w:rPr>
          <w:kern w:val="0"/>
          <w:szCs w:val="21"/>
        </w:rPr>
      </w:pPr>
      <w:r>
        <w:rPr>
          <w:rFonts w:hint="eastAsia"/>
          <w:kern w:val="0"/>
          <w:szCs w:val="21"/>
        </w:rPr>
        <w:t>本协议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7158D4DC">
      <w:pPr>
        <w:pStyle w:val="9"/>
        <w:tabs>
          <w:tab w:val="left" w:pos="1134"/>
        </w:tabs>
        <w:spacing w:line="372" w:lineRule="exact"/>
        <w:ind w:left="531" w:firstLine="0" w:firstLineChars="0"/>
        <w:rPr>
          <w:kern w:val="0"/>
          <w:szCs w:val="21"/>
        </w:rPr>
      </w:pPr>
      <w:bookmarkStart w:id="7" w:name="_Hlk525121716"/>
      <w:r>
        <w:rPr>
          <w:rFonts w:hint="eastAsia"/>
          <w:kern w:val="0"/>
          <w:szCs w:val="21"/>
        </w:rPr>
        <w:sym w:font="Wingdings 2" w:char="0052"/>
      </w:r>
      <w:r>
        <w:rPr>
          <w:kern w:val="0"/>
          <w:szCs w:val="21"/>
        </w:rPr>
        <w:tab/>
      </w:r>
      <w:r>
        <w:rPr>
          <w:rFonts w:hint="eastAsia"/>
          <w:kern w:val="0"/>
          <w:szCs w:val="21"/>
        </w:rPr>
        <w:t>本协议不办理强制执行公证。</w:t>
      </w:r>
    </w:p>
    <w:p w14:paraId="0CFE8400">
      <w:pPr>
        <w:pStyle w:val="9"/>
        <w:numPr>
          <w:ilvl w:val="1"/>
          <w:numId w:val="22"/>
        </w:numPr>
        <w:spacing w:line="372" w:lineRule="exact"/>
        <w:ind w:firstLineChars="0"/>
        <w:rPr>
          <w:b/>
          <w:bCs/>
          <w:snapToGrid w:val="0"/>
          <w:kern w:val="0"/>
          <w:szCs w:val="21"/>
        </w:rPr>
      </w:pPr>
      <w:r>
        <w:rPr>
          <w:rFonts w:hint="eastAsia" w:hAnsi="宋体"/>
          <w:b/>
          <w:bCs/>
          <w:kern w:val="0"/>
          <w:szCs w:val="21"/>
        </w:rPr>
        <w:t>有</w:t>
      </w:r>
      <w:r>
        <w:rPr>
          <w:rFonts w:hint="eastAsia"/>
          <w:b/>
          <w:bCs/>
          <w:snapToGrid w:val="0"/>
          <w:kern w:val="0"/>
          <w:szCs w:val="21"/>
        </w:rPr>
        <w:t>关</w:t>
      </w:r>
      <w:r>
        <w:rPr>
          <w:rFonts w:hint="eastAsia" w:hAnsi="宋体"/>
          <w:b/>
          <w:bCs/>
          <w:kern w:val="0"/>
          <w:szCs w:val="21"/>
        </w:rPr>
        <w:t>涉及线上化操作的特别约定。</w:t>
      </w:r>
      <w:r>
        <w:rPr>
          <w:rFonts w:hint="eastAsia"/>
          <w:b/>
          <w:bCs/>
          <w:kern w:val="0"/>
          <w:szCs w:val="21"/>
        </w:rPr>
        <w:t>本协议各方在此一致认同意并认可，为提高协议履行和实施效率，在法律允许的范围内并根据甲方对不同品种授信或业务的具体要求及允许，本协议项下相关事项亦可由乙方通过甲方提供或经甲方认可的电子银行或线上系统实施；乙方在此确认同意有关以电子银行或线上系统实施本协议的条款内容如下：</w:t>
      </w:r>
    </w:p>
    <w:p w14:paraId="28E91BBD">
      <w:pPr>
        <w:pStyle w:val="9"/>
        <w:numPr>
          <w:ilvl w:val="0"/>
          <w:numId w:val="23"/>
        </w:numPr>
        <w:spacing w:line="372" w:lineRule="exact"/>
        <w:ind w:left="1134" w:hanging="644" w:firstLineChars="0"/>
        <w:rPr>
          <w:kern w:val="0"/>
          <w:szCs w:val="21"/>
        </w:rPr>
      </w:pPr>
      <w:r>
        <w:rPr>
          <w:rFonts w:hint="eastAsia"/>
          <w:kern w:val="0"/>
          <w:szCs w:val="21"/>
        </w:rPr>
        <w:t>为免疑义，前述“电子银行”的含义为：电子银行包括利用计算机和互联网提供银行业务支持的金融服务系统（以下或简称“</w:t>
      </w:r>
      <w:r>
        <w:rPr>
          <w:rFonts w:hint="eastAsia"/>
          <w:b/>
          <w:bCs/>
          <w:kern w:val="0"/>
          <w:szCs w:val="21"/>
        </w:rPr>
        <w:t>网上银行</w:t>
      </w:r>
      <w:r>
        <w:rPr>
          <w:rFonts w:hint="eastAsia"/>
          <w:kern w:val="0"/>
          <w:szCs w:val="21"/>
        </w:rPr>
        <w:t>”），利用电话等声讯设备和电信网络提供银行业务支持的金融服务系统（以下或简称“</w:t>
      </w:r>
      <w:r>
        <w:rPr>
          <w:rFonts w:hint="eastAsia"/>
          <w:b/>
          <w:bCs/>
          <w:kern w:val="0"/>
          <w:szCs w:val="21"/>
        </w:rPr>
        <w:t>电话银行</w:t>
      </w:r>
      <w:r>
        <w:rPr>
          <w:rFonts w:hint="eastAsia"/>
          <w:kern w:val="0"/>
          <w:szCs w:val="21"/>
        </w:rPr>
        <w:t>”），利用移动电话和无线网络提供银行业务支持的金融服务系统（以下或简称“</w:t>
      </w:r>
      <w:r>
        <w:rPr>
          <w:rFonts w:hint="eastAsia"/>
          <w:b/>
          <w:bCs/>
          <w:kern w:val="0"/>
          <w:szCs w:val="21"/>
        </w:rPr>
        <w:t>手机银行</w:t>
      </w:r>
      <w:r>
        <w:rPr>
          <w:rFonts w:hint="eastAsia"/>
          <w:kern w:val="0"/>
          <w:szCs w:val="21"/>
        </w:rPr>
        <w:t>”），以及其他利用电子服务设备和网络，支持客户通过自助服务方式完成金融交易的金融服务系统。</w:t>
      </w:r>
    </w:p>
    <w:p w14:paraId="6116BD3F">
      <w:pPr>
        <w:pStyle w:val="9"/>
        <w:spacing w:line="372" w:lineRule="exact"/>
        <w:ind w:left="1134" w:firstLine="0" w:firstLineChars="0"/>
        <w:rPr>
          <w:kern w:val="0"/>
          <w:szCs w:val="21"/>
        </w:rPr>
      </w:pPr>
      <w:r>
        <w:rPr>
          <w:rFonts w:hint="eastAsia"/>
          <w:kern w:val="0"/>
          <w:szCs w:val="21"/>
        </w:rPr>
        <w:t>客户通过访问甲方提供的或经甲方认可的电子银行及</w:t>
      </w:r>
      <w:r>
        <w:rPr>
          <w:kern w:val="0"/>
          <w:szCs w:val="21"/>
        </w:rPr>
        <w:t>/</w:t>
      </w:r>
      <w:r>
        <w:rPr>
          <w:rFonts w:hint="eastAsia"/>
          <w:kern w:val="0"/>
          <w:szCs w:val="21"/>
        </w:rPr>
        <w:t>或电子银行所连接的银行业务系统或其他基于互联网或网络的线上业务平台或系统（前述诸项以下或合称为“</w:t>
      </w:r>
      <w:r>
        <w:rPr>
          <w:rFonts w:hint="eastAsia"/>
          <w:b/>
          <w:bCs/>
          <w:kern w:val="0"/>
          <w:szCs w:val="21"/>
        </w:rPr>
        <w:t>线上系统</w:t>
      </w:r>
      <w:r>
        <w:rPr>
          <w:rFonts w:hint="eastAsia"/>
          <w:kern w:val="0"/>
          <w:szCs w:val="21"/>
        </w:rPr>
        <w:t>”），以实现与甲方间相关业务或合作的实施。</w:t>
      </w:r>
    </w:p>
    <w:p w14:paraId="15882EA4">
      <w:pPr>
        <w:pStyle w:val="9"/>
        <w:numPr>
          <w:ilvl w:val="0"/>
          <w:numId w:val="23"/>
        </w:numPr>
        <w:spacing w:line="372" w:lineRule="exact"/>
        <w:ind w:left="1134" w:hanging="644" w:firstLineChars="0"/>
        <w:rPr>
          <w:kern w:val="0"/>
          <w:szCs w:val="21"/>
        </w:rPr>
      </w:pPr>
      <w:r>
        <w:rPr>
          <w:rFonts w:hint="eastAsia"/>
          <w:kern w:val="0"/>
          <w:szCs w:val="21"/>
        </w:rPr>
        <w:t>在法律允许的范围内并根据甲方对不同品种授信或业务不时的具体政策、要求及允许，乙方可通过甲方提供或经甲方认可的电子银行或线上系统履行本协议项下相关权利及承担义务，包括但不限于（根据具体实际情形）乙方申请本协议项下任何具体业务、甲方对乙方所申请任何具体授信或业务的实际提供（如适用）、乙方对本协议项下具体授信或业务或融资项下债务的偿还等。</w:t>
      </w:r>
      <w:r>
        <w:rPr>
          <w:rFonts w:hint="eastAsia"/>
          <w:b/>
          <w:bCs/>
          <w:kern w:val="0"/>
          <w:szCs w:val="21"/>
        </w:rPr>
        <w:t>乙方可通过电子银行或线上系统实施的具体授信或业务品种及政策以甲方最新发布为准；电子银行或线上系统的线上流程及相关电子文书格式以甲方最新发布为准；甲方</w:t>
      </w:r>
      <w:r>
        <w:rPr>
          <w:rFonts w:hint="eastAsia"/>
          <w:b/>
          <w:bCs/>
          <w:color w:val="000000" w:themeColor="text1"/>
          <w:kern w:val="0"/>
          <w:szCs w:val="21"/>
          <w:lang w:val="en-US" w:eastAsia="zh-CN"/>
          <w14:textFill>
            <w14:solidFill>
              <w14:schemeClr w14:val="tx1"/>
            </w14:solidFill>
          </w14:textFill>
        </w:rPr>
        <w:t>在履行适当的告知义务后，</w:t>
      </w:r>
      <w:r>
        <w:rPr>
          <w:rFonts w:hint="eastAsia"/>
          <w:b/>
          <w:bCs/>
          <w:kern w:val="0"/>
          <w:szCs w:val="21"/>
        </w:rPr>
        <w:t>有权根据需要暂停或关闭全部或部分具体授信或业务品种的电子银行或线上系统受理渠道或电子银行或线上系统功能，此时乙方应根据甲方要求通过线下履行包括按时足额还款在内的所有合同义务。</w:t>
      </w:r>
    </w:p>
    <w:p w14:paraId="175A6DF3">
      <w:pPr>
        <w:pStyle w:val="9"/>
        <w:numPr>
          <w:ilvl w:val="0"/>
          <w:numId w:val="23"/>
        </w:numPr>
        <w:spacing w:line="372" w:lineRule="exact"/>
        <w:ind w:left="1134" w:hanging="644" w:firstLineChars="0"/>
        <w:rPr>
          <w:b/>
          <w:bCs/>
          <w:kern w:val="0"/>
          <w:szCs w:val="21"/>
        </w:rPr>
      </w:pPr>
      <w:r>
        <w:rPr>
          <w:rFonts w:hint="eastAsia"/>
          <w:b/>
          <w:bCs/>
          <w:kern w:val="0"/>
          <w:szCs w:val="21"/>
        </w:rPr>
        <w:t>乙方通过电子银行或线上系统提交文件、参与业务流程处理、使用授信额度或融资及</w:t>
      </w:r>
      <w:r>
        <w:rPr>
          <w:b/>
          <w:bCs/>
          <w:kern w:val="0"/>
          <w:szCs w:val="21"/>
        </w:rPr>
        <w:t>/</w:t>
      </w:r>
      <w:r>
        <w:rPr>
          <w:rFonts w:hint="eastAsia"/>
          <w:b/>
          <w:bCs/>
          <w:kern w:val="0"/>
          <w:szCs w:val="21"/>
        </w:rPr>
        <w:t>或还款时，乙方同意并确认，凭乙方自身的电子银行或线上系统登录验证方式（包括但不限于电子签名、</w:t>
      </w:r>
      <w:r>
        <w:rPr>
          <w:b/>
          <w:bCs/>
          <w:kern w:val="0"/>
          <w:szCs w:val="21"/>
        </w:rPr>
        <w:t>U</w:t>
      </w:r>
      <w:r>
        <w:rPr>
          <w:rFonts w:hint="eastAsia"/>
          <w:b/>
          <w:bCs/>
          <w:kern w:val="0"/>
          <w:szCs w:val="21"/>
        </w:rPr>
        <w:t>盾及</w:t>
      </w:r>
      <w:r>
        <w:rPr>
          <w:b/>
          <w:bCs/>
          <w:kern w:val="0"/>
          <w:szCs w:val="21"/>
        </w:rPr>
        <w:t>/</w:t>
      </w:r>
      <w:r>
        <w:rPr>
          <w:rFonts w:hint="eastAsia"/>
          <w:b/>
          <w:bCs/>
          <w:kern w:val="0"/>
          <w:szCs w:val="21"/>
        </w:rPr>
        <w:t>或用户名</w:t>
      </w:r>
      <w:r>
        <w:rPr>
          <w:b/>
          <w:bCs/>
          <w:kern w:val="0"/>
          <w:szCs w:val="21"/>
        </w:rPr>
        <w:t>/</w:t>
      </w:r>
      <w:r>
        <w:rPr>
          <w:rFonts w:hint="eastAsia"/>
          <w:b/>
          <w:bCs/>
          <w:kern w:val="0"/>
          <w:szCs w:val="21"/>
        </w:rPr>
        <w:t>账号或密码）进入甲方电子银行或线上系统后所进行的所有操作均视为乙方）真实意思表示，由乙方承担相关责任。乙方充分认识到其自身的电子银行或线上系统登录验证方式相关信息（如用户名</w:t>
      </w:r>
      <w:r>
        <w:rPr>
          <w:b/>
          <w:bCs/>
          <w:kern w:val="0"/>
          <w:szCs w:val="21"/>
        </w:rPr>
        <w:t>/</w:t>
      </w:r>
      <w:r>
        <w:rPr>
          <w:rFonts w:hint="eastAsia"/>
          <w:b/>
          <w:bCs/>
          <w:kern w:val="0"/>
          <w:szCs w:val="21"/>
        </w:rPr>
        <w:t>账号或密码等）及验证实体（如</w:t>
      </w:r>
      <w:r>
        <w:rPr>
          <w:b/>
          <w:bCs/>
          <w:kern w:val="0"/>
          <w:szCs w:val="21"/>
        </w:rPr>
        <w:t>U</w:t>
      </w:r>
      <w:r>
        <w:rPr>
          <w:rFonts w:hint="eastAsia"/>
          <w:b/>
          <w:bCs/>
          <w:kern w:val="0"/>
          <w:szCs w:val="21"/>
        </w:rPr>
        <w:t>盾等）的重要性和敏感性，并意识到管理不善可能带来的重大资金损失，并承诺将采取足够的注意程度和安全保障措施确保仅由自身有效管控和持有；由于乙方保管不善等原因导致其</w:t>
      </w:r>
      <w:bookmarkStart w:id="8" w:name="_Hlk28886038"/>
      <w:r>
        <w:rPr>
          <w:rFonts w:hint="eastAsia"/>
          <w:b/>
          <w:bCs/>
          <w:kern w:val="0"/>
          <w:szCs w:val="21"/>
        </w:rPr>
        <w:t>电子银行或</w:t>
      </w:r>
      <w:bookmarkEnd w:id="8"/>
      <w:r>
        <w:rPr>
          <w:rFonts w:hint="eastAsia" w:ascii="宋体" w:hAnsi="宋体"/>
          <w:b/>
          <w:bCs/>
          <w:snapToGrid w:val="0"/>
          <w:spacing w:val="10"/>
          <w:szCs w:val="21"/>
        </w:rPr>
        <w:t>线上系统登录验证方式相关信息泄露及</w:t>
      </w:r>
      <w:r>
        <w:rPr>
          <w:rFonts w:ascii="宋体" w:hAnsi="宋体"/>
          <w:b/>
          <w:bCs/>
          <w:snapToGrid w:val="0"/>
          <w:spacing w:val="10"/>
          <w:szCs w:val="21"/>
        </w:rPr>
        <w:t>/</w:t>
      </w:r>
      <w:r>
        <w:rPr>
          <w:rFonts w:hint="eastAsia" w:ascii="宋体" w:hAnsi="宋体"/>
          <w:b/>
          <w:bCs/>
          <w:snapToGrid w:val="0"/>
          <w:spacing w:val="10"/>
          <w:szCs w:val="21"/>
        </w:rPr>
        <w:t>或</w:t>
      </w:r>
      <w:r>
        <w:rPr>
          <w:rFonts w:hint="eastAsia" w:ascii="宋体" w:hAnsi="宋体"/>
          <w:kern w:val="0"/>
          <w:szCs w:val="21"/>
        </w:rPr>
        <w:t>验证</w:t>
      </w:r>
      <w:r>
        <w:rPr>
          <w:rFonts w:hint="eastAsia" w:ascii="宋体" w:hAnsi="宋体"/>
          <w:b/>
          <w:bCs/>
          <w:snapToGrid w:val="0"/>
          <w:spacing w:val="10"/>
          <w:szCs w:val="21"/>
        </w:rPr>
        <w:t>实体（如</w:t>
      </w:r>
      <w:r>
        <w:rPr>
          <w:rFonts w:ascii="宋体" w:hAnsi="宋体"/>
          <w:b/>
          <w:bCs/>
          <w:snapToGrid w:val="0"/>
          <w:spacing w:val="10"/>
          <w:szCs w:val="21"/>
        </w:rPr>
        <w:t>U盾）</w:t>
      </w:r>
      <w:r>
        <w:rPr>
          <w:rFonts w:hint="eastAsia"/>
          <w:b/>
          <w:bCs/>
          <w:kern w:val="0"/>
          <w:szCs w:val="21"/>
        </w:rPr>
        <w:t>被他人盗用的，所产生的一切后果均由乙方自行承担。</w:t>
      </w:r>
    </w:p>
    <w:p w14:paraId="45887A1C">
      <w:pPr>
        <w:pStyle w:val="9"/>
        <w:numPr>
          <w:ilvl w:val="0"/>
          <w:numId w:val="23"/>
        </w:numPr>
        <w:spacing w:line="372" w:lineRule="exact"/>
        <w:ind w:left="1134" w:hanging="644" w:firstLineChars="0"/>
        <w:rPr>
          <w:b/>
          <w:bCs/>
          <w:kern w:val="0"/>
          <w:szCs w:val="21"/>
        </w:rPr>
      </w:pPr>
      <w:r>
        <w:rPr>
          <w:rFonts w:hint="eastAsia"/>
          <w:b/>
          <w:bCs/>
          <w:kern w:val="0"/>
          <w:szCs w:val="21"/>
        </w:rPr>
        <w:t>乙方通过电子银行或线上系统提交文件、参与业务流程处理、使用授信额度或办理融资业务时，获得的每一项服务或每一笔授信或融资的产生、存在、延续、消灭等，均以甲方电子银行或线上系统记录作为各方法律关系成立的依据及本协议履行的相关证据；甲方通过电子银行或线上系统向乙方提供服务或授信的记录或发放融资的转账记录作为乙方接受服务或授信或融资的有效依据。若由于乙方未按电子银行或线上系统提示操作而导致融资未能发放或错误发放，由此引起的一切后果由乙方承担。</w:t>
      </w:r>
    </w:p>
    <w:p w14:paraId="202D2AA0">
      <w:pPr>
        <w:pStyle w:val="9"/>
        <w:numPr>
          <w:ilvl w:val="0"/>
          <w:numId w:val="23"/>
        </w:numPr>
        <w:spacing w:line="372" w:lineRule="exact"/>
        <w:ind w:left="1134" w:hanging="644" w:firstLineChars="0"/>
        <w:rPr>
          <w:b/>
          <w:bCs/>
          <w:kern w:val="0"/>
          <w:szCs w:val="21"/>
        </w:rPr>
      </w:pPr>
      <w:r>
        <w:rPr>
          <w:rFonts w:hint="eastAsia"/>
          <w:b/>
          <w:bCs/>
          <w:kern w:val="0"/>
          <w:szCs w:val="21"/>
        </w:rPr>
        <w:t>乙方通过电子银行或线上系统办理还款业务或履行偿付任何义务时，每一笔融资或资金的归还均以甲方电子银行或线上系统记录作为依据；乙方通过电子银行或线上系统向甲方还款或偿付的转账记录作为乙方还款或偿付的有效依据。乙方应及时查询还款交易是否成功，若由于乙方未按电子银行或线上系统提示操作或电子银行或线上系统故障而导致融资归还或应履行的债务偿付未及时完成，甲方不负责由此引起的乙方的损失。</w:t>
      </w:r>
    </w:p>
    <w:p w14:paraId="2C1556F8">
      <w:pPr>
        <w:pStyle w:val="9"/>
        <w:numPr>
          <w:ilvl w:val="0"/>
          <w:numId w:val="23"/>
        </w:numPr>
        <w:spacing w:line="372" w:lineRule="exact"/>
        <w:ind w:left="1134" w:hanging="644" w:firstLineChars="0"/>
        <w:rPr>
          <w:b/>
          <w:bCs/>
          <w:kern w:val="0"/>
          <w:szCs w:val="21"/>
        </w:rPr>
      </w:pPr>
      <w:r>
        <w:rPr>
          <w:rFonts w:hint="eastAsia"/>
          <w:b/>
          <w:bCs/>
          <w:kern w:val="0"/>
          <w:szCs w:val="21"/>
        </w:rPr>
        <w:t>乙方应妥善保管好有关账号、密码、与系统登录验证有关的手机号码、动态验证码（如适用）等信息；乙方应确保使用电子银行或线上系统的移动设备及电脑设备的环境安全，并不向别人泄露以上信息。对于乙方的移动设备及</w:t>
      </w:r>
      <w:r>
        <w:rPr>
          <w:b/>
          <w:bCs/>
          <w:kern w:val="0"/>
          <w:szCs w:val="21"/>
        </w:rPr>
        <w:t>/</w:t>
      </w:r>
      <w:r>
        <w:rPr>
          <w:rFonts w:hint="eastAsia"/>
          <w:b/>
          <w:bCs/>
          <w:kern w:val="0"/>
          <w:szCs w:val="21"/>
        </w:rPr>
        <w:t>或电脑设备的环境安全问题或账号或密码泄露造成的损失，由乙方自行承担。如乙方发现账号或密码等存在冒用风险，或者有他人冒用乙方的账号或密码申请本协议项下授信业务的，乙方应立即通知甲方并要求暂停服务。同时，乙方应理解甲方对乙方的要求采取行动需要必要合理时间，在此之前，甲方对已执行的指令及（或）导致的损失不承担任何责任。</w:t>
      </w:r>
    </w:p>
    <w:p w14:paraId="015461D0">
      <w:pPr>
        <w:pStyle w:val="9"/>
        <w:numPr>
          <w:ilvl w:val="0"/>
          <w:numId w:val="23"/>
        </w:numPr>
        <w:spacing w:line="372" w:lineRule="exact"/>
        <w:ind w:left="1134" w:hanging="644" w:firstLineChars="0"/>
        <w:rPr>
          <w:b/>
          <w:bCs/>
          <w:kern w:val="0"/>
          <w:szCs w:val="21"/>
        </w:rPr>
      </w:pPr>
      <w:r>
        <w:rPr>
          <w:rFonts w:hint="eastAsia"/>
          <w:b/>
          <w:bCs/>
          <w:kern w:val="0"/>
          <w:szCs w:val="21"/>
        </w:rPr>
        <w:t>甲方系统因临时维护、突发故障等原因，暂停电子银行或线上系统使用时，无须提前通知乙方。但如遇甲方系统阶段性维护、升级等可预测情形，甲方可通过自身网站等渠道提前通知乙方。</w:t>
      </w:r>
    </w:p>
    <w:p w14:paraId="3849BA3C">
      <w:pPr>
        <w:pStyle w:val="9"/>
        <w:numPr>
          <w:ilvl w:val="0"/>
          <w:numId w:val="23"/>
        </w:numPr>
        <w:spacing w:line="372" w:lineRule="exact"/>
        <w:ind w:left="1134" w:hanging="644" w:firstLineChars="0"/>
        <w:rPr>
          <w:kern w:val="0"/>
          <w:szCs w:val="21"/>
        </w:rPr>
      </w:pPr>
      <w:r>
        <w:rPr>
          <w:rFonts w:hint="eastAsia"/>
          <w:b/>
          <w:bCs/>
          <w:kern w:val="0"/>
          <w:szCs w:val="21"/>
        </w:rPr>
        <w:t>乙方进一步确认理解电子银行或线上系统系甲方为提高效率额外提供的便利服务方式，如电子银行或线上系统因故无法访问或使用，乙方仍可通过传统线下方式联系甲方商洽业务办理，或等待甲方电子银行或线上系统恢复后</w:t>
      </w:r>
      <w:r>
        <w:rPr>
          <w:rFonts w:hint="eastAsia" w:ascii="宋体" w:hAnsi="宋体"/>
          <w:kern w:val="0"/>
          <w:szCs w:val="21"/>
        </w:rPr>
        <w:t>使用</w:t>
      </w:r>
      <w:r>
        <w:rPr>
          <w:rFonts w:hint="eastAsia"/>
          <w:b/>
          <w:bCs/>
          <w:kern w:val="0"/>
          <w:szCs w:val="21"/>
        </w:rPr>
        <w:t>；如因：（</w:t>
      </w:r>
      <w:r>
        <w:rPr>
          <w:b/>
          <w:bCs/>
          <w:kern w:val="0"/>
          <w:szCs w:val="21"/>
        </w:rPr>
        <w:t>a</w:t>
      </w:r>
      <w:r>
        <w:rPr>
          <w:rFonts w:hint="eastAsia"/>
          <w:b/>
          <w:bCs/>
          <w:kern w:val="0"/>
          <w:szCs w:val="21"/>
        </w:rPr>
        <w:t>）法律法规的变化、监管或政策的调整；（</w:t>
      </w:r>
      <w:r>
        <w:rPr>
          <w:b/>
          <w:bCs/>
          <w:kern w:val="0"/>
          <w:szCs w:val="21"/>
        </w:rPr>
        <w:t>b</w:t>
      </w:r>
      <w:r>
        <w:rPr>
          <w:rFonts w:hint="eastAsia"/>
          <w:b/>
          <w:bCs/>
          <w:kern w:val="0"/>
          <w:szCs w:val="21"/>
        </w:rPr>
        <w:t>）台风、海啸、洪水、暴雨、火灾、地震、飓风、停电、战争、恐怖袭击等不可抗力因素导致或可能导致甲方系统障碍不能执行业务的；（</w:t>
      </w:r>
      <w:r>
        <w:rPr>
          <w:b/>
          <w:bCs/>
          <w:kern w:val="0"/>
          <w:szCs w:val="21"/>
        </w:rPr>
        <w:t>c</w:t>
      </w:r>
      <w:r>
        <w:rPr>
          <w:rFonts w:hint="eastAsia"/>
          <w:b/>
          <w:bCs/>
          <w:kern w:val="0"/>
          <w:szCs w:val="21"/>
        </w:rPr>
        <w:t>）电信设备出现故障不能进行数据传输或业务处理的；（</w:t>
      </w:r>
      <w:r>
        <w:rPr>
          <w:b/>
          <w:bCs/>
          <w:kern w:val="0"/>
          <w:szCs w:val="21"/>
        </w:rPr>
        <w:t>d</w:t>
      </w:r>
      <w:r>
        <w:rPr>
          <w:rFonts w:hint="eastAsia"/>
          <w:b/>
          <w:bCs/>
          <w:kern w:val="0"/>
          <w:szCs w:val="21"/>
        </w:rPr>
        <w:t>）由于黑客袭击、电信部门或其他有信息技术依赖的部门、企事业单位技术调整或故障、网站升级等原因造成服务延迟或中断的；或（</w:t>
      </w:r>
      <w:r>
        <w:rPr>
          <w:b/>
          <w:bCs/>
          <w:kern w:val="0"/>
          <w:szCs w:val="21"/>
        </w:rPr>
        <w:t>e</w:t>
      </w:r>
      <w:r>
        <w:rPr>
          <w:rFonts w:hint="eastAsia"/>
          <w:b/>
          <w:bCs/>
          <w:kern w:val="0"/>
          <w:szCs w:val="21"/>
        </w:rPr>
        <w:t>）因线上服务平台或其他贷款</w:t>
      </w:r>
      <w:r>
        <w:rPr>
          <w:b/>
          <w:bCs/>
          <w:kern w:val="0"/>
          <w:szCs w:val="21"/>
        </w:rPr>
        <w:t>/</w:t>
      </w:r>
      <w:r>
        <w:rPr>
          <w:rFonts w:hint="eastAsia"/>
          <w:b/>
          <w:bCs/>
          <w:kern w:val="0"/>
          <w:szCs w:val="21"/>
        </w:rPr>
        <w:t>融资服务平台系统（如适用）处于维护或升级期间，如上述任何因素的发生可能影响甲方电子银行或线上系统继续运行或甲方提供服务的，甲方可视情形停止以电子银行渠道受理服务需求而不构成本协议项下违约；甲方将适时通知乙方此等情形。</w:t>
      </w:r>
    </w:p>
    <w:p w14:paraId="4BFA6CD2">
      <w:pPr>
        <w:pStyle w:val="9"/>
        <w:numPr>
          <w:ilvl w:val="0"/>
          <w:numId w:val="23"/>
        </w:numPr>
        <w:spacing w:line="372" w:lineRule="exact"/>
        <w:ind w:left="1134" w:hanging="644" w:firstLineChars="0"/>
        <w:rPr>
          <w:b/>
          <w:bCs/>
          <w:kern w:val="0"/>
          <w:szCs w:val="21"/>
        </w:rPr>
      </w:pPr>
      <w:r>
        <w:rPr>
          <w:rFonts w:hint="eastAsia"/>
          <w:b/>
          <w:bCs/>
          <w:kern w:val="0"/>
          <w:szCs w:val="21"/>
        </w:rPr>
        <w:t>关于线上通讯的特别约定：除本协议第十条（通知和送达）约定方式外，如本协议各方系通过有关甲方所提供电子银行或线上系统开展本协议项下业务的，则各方通过该等电子银行或线上系统相互进行的通讯，在相应信息成功发送后亦视为有效送达（除非有其他明显证据证明该通知未成功送达）。就通过本条款所述方式进行的通讯，甲方可视情形豁免乙方根据前述本协议第十条（通知和送达）第1</w:t>
      </w:r>
      <w:r>
        <w:rPr>
          <w:b/>
          <w:bCs/>
          <w:kern w:val="0"/>
          <w:szCs w:val="21"/>
        </w:rPr>
        <w:t>0.1.2</w:t>
      </w:r>
      <w:r>
        <w:rPr>
          <w:rFonts w:hint="eastAsia"/>
          <w:b/>
          <w:bCs/>
          <w:kern w:val="0"/>
          <w:szCs w:val="21"/>
        </w:rPr>
        <w:t>款第二段之乙方的事后补件义务。</w:t>
      </w:r>
    </w:p>
    <w:bookmarkEnd w:id="7"/>
    <w:p w14:paraId="4D6C24F3">
      <w:pPr>
        <w:pStyle w:val="9"/>
        <w:numPr>
          <w:ilvl w:val="1"/>
          <w:numId w:val="22"/>
        </w:numPr>
        <w:spacing w:line="372" w:lineRule="exact"/>
        <w:ind w:firstLineChars="0"/>
        <w:rPr>
          <w:kern w:val="0"/>
          <w:szCs w:val="21"/>
        </w:rPr>
      </w:pPr>
      <w:bookmarkStart w:id="9" w:name="_Hlk529474547"/>
      <w:r>
        <w:rPr>
          <w:rFonts w:hint="eastAsia"/>
          <w:kern w:val="0"/>
          <w:szCs w:val="21"/>
        </w:rPr>
        <w:t>在本协议生效期间，甲方对乙方的任何违约或延误行为施以任何宽容、宽限或延缓行使本协议内甲方应享有的权利，均不能损害、影响或限制甲方依本协议和有关法律规定作为债权人应享有的一切权利，不能</w:t>
      </w:r>
      <w:r>
        <w:rPr>
          <w:rFonts w:hint="eastAsia" w:ascii="宋体" w:hAnsi="宋体"/>
          <w:kern w:val="0"/>
          <w:szCs w:val="21"/>
        </w:rPr>
        <w:t>作为</w:t>
      </w:r>
      <w:r>
        <w:rPr>
          <w:rFonts w:hint="eastAsia"/>
          <w:kern w:val="0"/>
          <w:szCs w:val="21"/>
        </w:rPr>
        <w:t>甲方对任何破坏本协议行为的许可或认可，也不能视为甲方放弃对现有或将来违约行为采取行动的权利。</w:t>
      </w:r>
    </w:p>
    <w:bookmarkEnd w:id="9"/>
    <w:p w14:paraId="5A937B05">
      <w:pPr>
        <w:pStyle w:val="9"/>
        <w:numPr>
          <w:ilvl w:val="1"/>
          <w:numId w:val="22"/>
        </w:numPr>
        <w:spacing w:line="372" w:lineRule="exact"/>
        <w:ind w:firstLineChars="0"/>
        <w:rPr>
          <w:rFonts w:ascii="宋体" w:hAnsi="宋体"/>
          <w:kern w:val="0"/>
          <w:szCs w:val="21"/>
        </w:rPr>
      </w:pPr>
      <w:r>
        <w:rPr>
          <w:rFonts w:hint="eastAsia" w:ascii="宋体" w:hAnsi="宋体"/>
          <w:kern w:val="0"/>
          <w:szCs w:val="21"/>
        </w:rPr>
        <w:t>债权证据及其他文件。</w:t>
      </w:r>
    </w:p>
    <w:p w14:paraId="61F15C07">
      <w:pPr>
        <w:pStyle w:val="9"/>
        <w:numPr>
          <w:ilvl w:val="0"/>
          <w:numId w:val="24"/>
        </w:numPr>
        <w:spacing w:line="372" w:lineRule="exact"/>
        <w:ind w:left="1134" w:hanging="644" w:firstLineChars="0"/>
        <w:rPr>
          <w:rFonts w:ascii="宋体" w:hAnsi="宋体"/>
          <w:kern w:val="0"/>
          <w:szCs w:val="21"/>
        </w:rPr>
      </w:pPr>
      <w:r>
        <w:rPr>
          <w:rFonts w:hint="eastAsia" w:ascii="宋体" w:hAnsi="宋体"/>
          <w:kern w:val="0"/>
          <w:szCs w:val="21"/>
        </w:rPr>
        <w:t>本协议项下所涉单项授信申请书、授信合同、借款借据、授信凭证以及形成债权债务关系的其他法律性文件（包括但不限于甲方向乙方发送的所有与本协议有关的法律性文件、双方在办理业务过程中所形成的支付凭证、账户月结单、甲方所保存的有关乙方账户的交易记录、甲方向乙方账户发送的各种通知、</w:t>
      </w:r>
      <w:r>
        <w:rPr>
          <w:rFonts w:hint="eastAsia" w:ascii="宋体" w:hAnsi="宋体"/>
          <w:bCs/>
          <w:kern w:val="0"/>
          <w:szCs w:val="21"/>
        </w:rPr>
        <w:t>乙方向甲方单方面出具的承诺函、声明书等文件</w:t>
      </w:r>
      <w:r>
        <w:rPr>
          <w:rFonts w:hint="eastAsia" w:ascii="宋体" w:hAnsi="宋体"/>
          <w:kern w:val="0"/>
          <w:szCs w:val="21"/>
        </w:rPr>
        <w:t>等），均为本协议的有效组成部分，具同等法律效力。</w:t>
      </w:r>
    </w:p>
    <w:p w14:paraId="767A632B">
      <w:pPr>
        <w:pStyle w:val="9"/>
        <w:numPr>
          <w:ilvl w:val="0"/>
          <w:numId w:val="24"/>
        </w:numPr>
        <w:spacing w:line="372" w:lineRule="exact"/>
        <w:ind w:left="1134" w:hanging="644" w:firstLineChars="0"/>
        <w:rPr>
          <w:rFonts w:ascii="宋体" w:hAnsi="宋体"/>
          <w:b/>
          <w:kern w:val="0"/>
          <w:szCs w:val="21"/>
        </w:rPr>
      </w:pPr>
      <w:r>
        <w:rPr>
          <w:rFonts w:hint="eastAsia" w:ascii="宋体" w:hAnsi="宋体"/>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4B8FBDF1">
      <w:pPr>
        <w:pStyle w:val="9"/>
        <w:numPr>
          <w:ilvl w:val="0"/>
          <w:numId w:val="24"/>
        </w:numPr>
        <w:spacing w:line="372" w:lineRule="exact"/>
        <w:ind w:left="1134" w:hanging="644" w:firstLineChars="0"/>
        <w:rPr>
          <w:rFonts w:ascii="宋体" w:hAnsi="宋体"/>
          <w:b/>
          <w:kern w:val="0"/>
          <w:szCs w:val="21"/>
        </w:rPr>
      </w:pPr>
      <w:r>
        <w:rPr>
          <w:rFonts w:hint="eastAsia" w:ascii="宋体" w:hAnsi="宋体"/>
          <w:b/>
          <w:kern w:val="0"/>
          <w:szCs w:val="21"/>
        </w:rPr>
        <w:t>就对账单而言，如乙方对甲方提供的业务对账单相关内容有异议的，应在收到对账单后的十日内提出，否则，视为乙方已认可对账单所列全部内容。</w:t>
      </w:r>
    </w:p>
    <w:p w14:paraId="3AE217BE">
      <w:pPr>
        <w:pStyle w:val="9"/>
        <w:numPr>
          <w:ilvl w:val="0"/>
          <w:numId w:val="24"/>
        </w:numPr>
        <w:spacing w:line="372" w:lineRule="exact"/>
        <w:ind w:left="1134" w:hanging="644" w:firstLineChars="0"/>
        <w:rPr>
          <w:rFonts w:ascii="宋体" w:hAnsi="宋体"/>
          <w:kern w:val="0"/>
          <w:szCs w:val="21"/>
        </w:rPr>
      </w:pPr>
      <w:r>
        <w:rPr>
          <w:rFonts w:ascii="宋体" w:hAnsi="宋体"/>
          <w:kern w:val="0"/>
          <w:szCs w:val="21"/>
        </w:rPr>
        <w:t>本协议未尽事宜需要补充的，双方可另行达成书面</w:t>
      </w:r>
      <w:r>
        <w:rPr>
          <w:rFonts w:hint="eastAsia" w:ascii="宋体" w:hAnsi="宋体"/>
          <w:kern w:val="0"/>
          <w:szCs w:val="21"/>
        </w:rPr>
        <w:t>协议作为本协议附件；本协议附件为</w:t>
      </w:r>
      <w:r>
        <w:rPr>
          <w:rFonts w:ascii="宋体" w:hAnsi="宋体"/>
          <w:kern w:val="0"/>
          <w:szCs w:val="21"/>
        </w:rPr>
        <w:t>本协议不可分割的组成部分，与本协议正文具有同等的法律效力。</w:t>
      </w:r>
    </w:p>
    <w:p w14:paraId="74DD9FE5">
      <w:pPr>
        <w:pStyle w:val="9"/>
        <w:numPr>
          <w:ilvl w:val="1"/>
          <w:numId w:val="22"/>
        </w:numPr>
        <w:spacing w:line="372" w:lineRule="exact"/>
        <w:ind w:firstLineChars="0"/>
        <w:rPr>
          <w:b/>
          <w:bCs/>
          <w:kern w:val="0"/>
          <w:szCs w:val="21"/>
        </w:rPr>
      </w:pPr>
      <w:r>
        <w:rPr>
          <w:rFonts w:hint="eastAsia"/>
          <w:b/>
          <w:bCs/>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3DA8589B">
      <w:pPr>
        <w:pStyle w:val="9"/>
        <w:numPr>
          <w:ilvl w:val="1"/>
          <w:numId w:val="22"/>
        </w:numPr>
        <w:spacing w:line="372" w:lineRule="exact"/>
        <w:ind w:firstLineChars="0"/>
        <w:rPr>
          <w:b/>
          <w:kern w:val="0"/>
          <w:szCs w:val="21"/>
        </w:rPr>
      </w:pPr>
      <w:r>
        <w:rPr>
          <w:rFonts w:hint="eastAsia"/>
          <w:b/>
          <w:bCs/>
          <w:kern w:val="0"/>
          <w:szCs w:val="21"/>
        </w:rPr>
        <w:t>乙方在此明确同意在本协议履行过程中甲方可以将本协议项下的权利和义务全部或部分转让给平安银行分支机构或关联机构或其他第三方，而无需重复征求乙方意见；为转让目的，</w:t>
      </w:r>
      <w:r>
        <w:rPr>
          <w:rFonts w:hint="eastAsia"/>
          <w:b/>
          <w:kern w:val="0"/>
          <w:szCs w:val="21"/>
        </w:rPr>
        <w:t>甲方可就本协议向潜在受让方合理披露本协议项下有关乙方的</w:t>
      </w:r>
      <w:r>
        <w:rPr>
          <w:rFonts w:hint="eastAsia"/>
          <w:b/>
          <w:bCs/>
          <w:kern w:val="0"/>
          <w:szCs w:val="21"/>
        </w:rPr>
        <w:t>资料</w:t>
      </w:r>
      <w:r>
        <w:rPr>
          <w:rFonts w:hint="eastAsia"/>
          <w:b/>
          <w:kern w:val="0"/>
          <w:szCs w:val="21"/>
        </w:rPr>
        <w:t>；未经甲方同意，乙方不得转让其在本协议项下任何权利及</w:t>
      </w:r>
      <w:r>
        <w:rPr>
          <w:b/>
          <w:kern w:val="0"/>
          <w:szCs w:val="21"/>
        </w:rPr>
        <w:t>/</w:t>
      </w:r>
      <w:r>
        <w:rPr>
          <w:rFonts w:hint="eastAsia"/>
          <w:b/>
          <w:kern w:val="0"/>
          <w:szCs w:val="21"/>
        </w:rPr>
        <w:t>或义务。</w:t>
      </w:r>
    </w:p>
    <w:p w14:paraId="09287B3B">
      <w:pPr>
        <w:pStyle w:val="9"/>
        <w:numPr>
          <w:ilvl w:val="1"/>
          <w:numId w:val="22"/>
        </w:numPr>
        <w:spacing w:line="372" w:lineRule="exact"/>
        <w:ind w:firstLineChars="0"/>
        <w:rPr>
          <w:kern w:val="0"/>
          <w:szCs w:val="21"/>
        </w:rPr>
      </w:pPr>
      <w:bookmarkStart w:id="10" w:name="_Hlk529474580"/>
      <w:r>
        <w:rPr>
          <w:rFonts w:hint="eastAsia"/>
          <w:b/>
          <w:kern w:val="0"/>
          <w:szCs w:val="21"/>
        </w:rPr>
        <w:t>本协议任何内容不论因何种原因而在法律上成为无效或部分无效，不影响其他条款或内容的有效性；若发生前述情形，甲方有权终止本协议，并向乙方追索本协议项下所有授信本息及其它有关款项；乙方应当配合立即向甲方返还全部授信本金、以及相当于按照本协议约定应计的利息及其他费用的款项。</w:t>
      </w:r>
      <w:bookmarkEnd w:id="10"/>
    </w:p>
    <w:p w14:paraId="0D86CE1B">
      <w:pPr>
        <w:pStyle w:val="9"/>
        <w:numPr>
          <w:ilvl w:val="1"/>
          <w:numId w:val="22"/>
        </w:numPr>
        <w:spacing w:line="372" w:lineRule="exact"/>
        <w:ind w:firstLineChars="0"/>
        <w:rPr>
          <w:b/>
          <w:bCs/>
          <w:kern w:val="0"/>
          <w:szCs w:val="21"/>
        </w:rPr>
      </w:pPr>
      <w:r>
        <w:rPr>
          <w:rFonts w:hint="eastAsia"/>
          <w:b/>
          <w:bCs/>
          <w:kern w:val="0"/>
          <w:szCs w:val="21"/>
        </w:rPr>
        <w:t>本协议适用中华人民共和国大陆地区法律并按其解释；甲乙双方在履行本协议过程中所发生的争议，由双方协商解决；协商不成的，按下列第</w:t>
      </w:r>
      <w:r>
        <w:rPr>
          <w:rFonts w:ascii="Arial" w:hAnsi="Arial" w:cs="Arial"/>
          <w:b/>
          <w:bCs w:val="0"/>
          <w:kern w:val="0"/>
          <w:szCs w:val="21"/>
          <w:u w:val="single"/>
        </w:rPr>
        <w:t>_</w:t>
      </w:r>
      <w:r>
        <w:rPr>
          <w:rFonts w:hint="eastAsia" w:ascii="Arial" w:hAnsi="Arial" w:cs="Arial"/>
          <w:b/>
          <w:bCs w:val="0"/>
          <w:kern w:val="0"/>
          <w:szCs w:val="21"/>
          <w:u w:val="single"/>
          <w:lang w:eastAsia="zh-CN"/>
        </w:rPr>
        <w:t>（</w:t>
      </w:r>
      <w:r>
        <w:rPr>
          <w:rFonts w:hint="eastAsia" w:ascii="Arial" w:hAnsi="Arial" w:cs="Arial"/>
          <w:b/>
          <w:bCs w:val="0"/>
          <w:kern w:val="0"/>
          <w:szCs w:val="21"/>
          <w:u w:val="single"/>
          <w:lang w:val="en-US" w:eastAsia="zh-CN"/>
        </w:rPr>
        <w:t>2</w:t>
      </w:r>
      <w:r>
        <w:rPr>
          <w:rFonts w:hint="eastAsia" w:ascii="Arial" w:hAnsi="Arial" w:cs="Arial"/>
          <w:b/>
          <w:bCs w:val="0"/>
          <w:kern w:val="0"/>
          <w:szCs w:val="21"/>
          <w:u w:val="single"/>
          <w:lang w:eastAsia="zh-CN"/>
        </w:rPr>
        <w:t>）</w:t>
      </w:r>
      <w:r>
        <w:rPr>
          <w:rFonts w:ascii="Arial" w:hAnsi="Arial" w:cs="Arial"/>
          <w:b/>
          <w:bCs w:val="0"/>
          <w:kern w:val="0"/>
          <w:szCs w:val="21"/>
          <w:u w:val="single"/>
        </w:rPr>
        <w:t>_</w:t>
      </w:r>
      <w:r>
        <w:rPr>
          <w:rFonts w:hint="eastAsia"/>
          <w:b/>
          <w:bCs/>
          <w:kern w:val="0"/>
          <w:szCs w:val="21"/>
        </w:rPr>
        <w:t>项方式解决：</w:t>
      </w:r>
    </w:p>
    <w:p w14:paraId="65585691">
      <w:pPr>
        <w:pStyle w:val="9"/>
        <w:numPr>
          <w:ilvl w:val="0"/>
          <w:numId w:val="25"/>
        </w:numPr>
        <w:spacing w:line="372" w:lineRule="exact"/>
        <w:ind w:left="1134" w:hanging="644" w:firstLineChars="0"/>
        <w:rPr>
          <w:rFonts w:ascii="Arial" w:hAnsi="Arial"/>
          <w:b/>
          <w:kern w:val="0"/>
        </w:rPr>
      </w:pPr>
      <w:r>
        <w:rPr>
          <w:rFonts w:hint="eastAsia" w:ascii="Arial" w:hAnsi="Arial"/>
          <w:b/>
          <w:kern w:val="0"/>
        </w:rPr>
        <w:t>向</w:t>
      </w:r>
      <w:r>
        <w:rPr>
          <w:rFonts w:ascii="Arial" w:hAnsi="Arial"/>
          <w:kern w:val="0"/>
        </w:rPr>
        <w:t>____________</w:t>
      </w:r>
      <w:r>
        <w:rPr>
          <w:rFonts w:hint="eastAsia" w:ascii="Arial" w:hAnsi="Arial"/>
          <w:kern w:val="0"/>
          <w:lang w:val="en-US" w:eastAsia="zh-CN"/>
        </w:rPr>
        <w:t>/</w:t>
      </w:r>
      <w:r>
        <w:rPr>
          <w:rFonts w:ascii="Arial" w:hAnsi="Arial"/>
          <w:kern w:val="0"/>
        </w:rPr>
        <w:t>___________________</w:t>
      </w:r>
      <w:r>
        <w:rPr>
          <w:rFonts w:hint="eastAsia" w:ascii="Arial" w:hAnsi="Arial"/>
          <w:b/>
          <w:kern w:val="0"/>
        </w:rPr>
        <w:t>申请仲裁，按照申请仲裁时该仲裁机构实施的仲裁规则进行仲裁。仲裁裁决是终局的，对双方均有约束力。</w:t>
      </w:r>
    </w:p>
    <w:p w14:paraId="74F240C3">
      <w:pPr>
        <w:pStyle w:val="9"/>
        <w:numPr>
          <w:ilvl w:val="0"/>
          <w:numId w:val="25"/>
        </w:numPr>
        <w:spacing w:line="372" w:lineRule="exact"/>
        <w:ind w:left="1134" w:hanging="644" w:firstLineChars="0"/>
        <w:rPr>
          <w:rFonts w:ascii="Arial" w:hAnsi="Arial"/>
          <w:b/>
          <w:kern w:val="0"/>
        </w:rPr>
      </w:pPr>
      <w:r>
        <w:rPr>
          <w:rFonts w:hint="eastAsia" w:ascii="Arial" w:hAnsi="Arial"/>
          <w:b/>
          <w:kern w:val="0"/>
        </w:rPr>
        <w:t>向甲方所在地人民法院提起诉讼。</w:t>
      </w:r>
    </w:p>
    <w:p w14:paraId="58F235BD">
      <w:pPr>
        <w:pStyle w:val="9"/>
        <w:numPr>
          <w:ilvl w:val="0"/>
          <w:numId w:val="25"/>
        </w:numPr>
        <w:spacing w:line="372" w:lineRule="exact"/>
        <w:ind w:left="1134" w:hanging="644" w:firstLineChars="0"/>
        <w:rPr>
          <w:rFonts w:ascii="Arial" w:hAnsi="Arial"/>
          <w:b/>
          <w:kern w:val="0"/>
        </w:rPr>
      </w:pPr>
      <w:r>
        <w:rPr>
          <w:rFonts w:hint="eastAsia" w:ascii="Arial" w:hAnsi="Arial"/>
          <w:b/>
          <w:kern w:val="0"/>
        </w:rPr>
        <w:t>向</w:t>
      </w:r>
      <w:r>
        <w:rPr>
          <w:rFonts w:ascii="Arial" w:hAnsi="Arial"/>
          <w:kern w:val="0"/>
        </w:rPr>
        <w:t>__________</w:t>
      </w:r>
      <w:r>
        <w:rPr>
          <w:rFonts w:hint="eastAsia" w:ascii="Arial" w:hAnsi="Arial"/>
          <w:kern w:val="0"/>
          <w:lang w:val="en-US" w:eastAsia="zh-CN"/>
        </w:rPr>
        <w:t>/</w:t>
      </w:r>
      <w:r>
        <w:rPr>
          <w:rFonts w:ascii="Arial" w:hAnsi="Arial"/>
          <w:kern w:val="0"/>
        </w:rPr>
        <w:t>_____________________</w:t>
      </w:r>
      <w:r>
        <w:rPr>
          <w:rFonts w:hint="eastAsia" w:ascii="Arial" w:hAnsi="Arial"/>
          <w:b/>
          <w:kern w:val="0"/>
        </w:rPr>
        <w:t>人民法院提起诉讼。</w:t>
      </w:r>
    </w:p>
    <w:p w14:paraId="27C73BE8">
      <w:pPr>
        <w:pStyle w:val="9"/>
        <w:numPr>
          <w:ilvl w:val="1"/>
          <w:numId w:val="22"/>
        </w:numPr>
        <w:spacing w:line="372" w:lineRule="exact"/>
        <w:ind w:firstLineChars="0"/>
        <w:rPr>
          <w:b/>
          <w:kern w:val="0"/>
          <w:szCs w:val="21"/>
        </w:rPr>
      </w:pPr>
      <w:r>
        <w:rPr>
          <w:rFonts w:hint="eastAsia"/>
          <w:bCs/>
          <w:kern w:val="0"/>
          <w:szCs w:val="21"/>
        </w:rPr>
        <w:t>本协议经甲方法定代表人（负责人）或委托代理人签字（或加盖印章）并加盖公章（或合同专用章）、及乙方法定代表人或委托代理人签字（或加盖印章）并加盖公章后生效。</w:t>
      </w:r>
    </w:p>
    <w:p w14:paraId="094AC07D">
      <w:pPr>
        <w:pStyle w:val="9"/>
        <w:spacing w:line="372" w:lineRule="exact"/>
        <w:ind w:left="850" w:leftChars="170" w:hanging="306" w:hangingChars="146"/>
        <w:rPr>
          <w:bCs/>
          <w:kern w:val="0"/>
          <w:szCs w:val="21"/>
        </w:rPr>
      </w:pPr>
      <w:r>
        <w:rPr>
          <w:rFonts w:hint="eastAsia"/>
          <w:bCs/>
          <w:kern w:val="0"/>
          <w:szCs w:val="21"/>
        </w:rPr>
        <w:t>□</w:t>
      </w:r>
      <w:r>
        <w:rPr>
          <w:bCs/>
          <w:kern w:val="0"/>
          <w:szCs w:val="21"/>
        </w:rPr>
        <w:t xml:space="preserve"> </w:t>
      </w:r>
      <w:r>
        <w:rPr>
          <w:rFonts w:hint="eastAsia"/>
          <w:bCs/>
          <w:kern w:val="0"/>
          <w:szCs w:val="21"/>
        </w:rPr>
        <w:t>本协议签署生效后，乙方原签署的《资产池出账专项协议》（□</w:t>
      </w:r>
      <w:r>
        <w:rPr>
          <w:bCs/>
          <w:kern w:val="0"/>
          <w:szCs w:val="21"/>
        </w:rPr>
        <w:t xml:space="preserve"> </w:t>
      </w:r>
      <w:r>
        <w:rPr>
          <w:rFonts w:hint="eastAsia"/>
          <w:bCs/>
          <w:kern w:val="0"/>
          <w:szCs w:val="21"/>
        </w:rPr>
        <w:t>文件编号</w:t>
      </w:r>
      <w:r>
        <w:rPr>
          <w:bCs/>
          <w:kern w:val="0"/>
          <w:szCs w:val="21"/>
        </w:rPr>
        <w:t xml:space="preserve">_______________________ </w:t>
      </w:r>
      <w:r>
        <w:rPr>
          <w:rFonts w:hint="eastAsia"/>
          <w:bCs/>
          <w:kern w:val="0"/>
          <w:szCs w:val="21"/>
        </w:rPr>
        <w:t>□</w:t>
      </w:r>
      <w:r>
        <w:rPr>
          <w:bCs/>
          <w:kern w:val="0"/>
          <w:szCs w:val="21"/>
        </w:rPr>
        <w:t xml:space="preserve"> </w:t>
      </w:r>
      <w:r>
        <w:rPr>
          <w:rFonts w:hint="eastAsia"/>
          <w:bCs/>
          <w:kern w:val="0"/>
          <w:szCs w:val="21"/>
        </w:rPr>
        <w:t>签署日期：</w:t>
      </w:r>
      <w:r>
        <w:rPr>
          <w:bCs/>
          <w:kern w:val="0"/>
          <w:szCs w:val="21"/>
        </w:rPr>
        <w:t>____________________________</w:t>
      </w:r>
      <w:r>
        <w:rPr>
          <w:rFonts w:hint="eastAsia"/>
          <w:bCs/>
          <w:kern w:val="0"/>
          <w:szCs w:val="21"/>
        </w:rPr>
        <w:t>，以下简称“</w:t>
      </w:r>
      <w:r>
        <w:rPr>
          <w:rFonts w:hint="eastAsia"/>
          <w:b/>
          <w:kern w:val="0"/>
          <w:szCs w:val="21"/>
        </w:rPr>
        <w:t>原协议</w:t>
      </w:r>
      <w:r>
        <w:rPr>
          <w:rFonts w:hint="eastAsia"/>
          <w:bCs/>
          <w:kern w:val="0"/>
          <w:szCs w:val="21"/>
        </w:rPr>
        <w:t>”）项下不再发生新额度提用，乙方如需新提用额度均视为在本协议项下按照本协议相关条件和条款约定提用；原协议项下乙方已提用额度及债权债务按如下处理：</w:t>
      </w:r>
    </w:p>
    <w:p w14:paraId="247D0687">
      <w:pPr>
        <w:pStyle w:val="9"/>
        <w:spacing w:line="372" w:lineRule="exact"/>
        <w:ind w:left="1160" w:leftChars="267" w:hanging="306" w:hangingChars="146"/>
        <w:rPr>
          <w:bCs/>
          <w:kern w:val="0"/>
          <w:szCs w:val="21"/>
        </w:rPr>
      </w:pPr>
      <w:r>
        <w:rPr>
          <w:bCs/>
          <w:kern w:val="0"/>
          <w:szCs w:val="21"/>
        </w:rPr>
        <w:t xml:space="preserve">1) </w:t>
      </w:r>
      <w:r>
        <w:rPr>
          <w:rFonts w:hint="eastAsia"/>
          <w:bCs/>
          <w:kern w:val="0"/>
          <w:szCs w:val="21"/>
        </w:rPr>
        <w:t>原协议对乙方已提用额度部分继续有效；原协议项下原授信额度（包括乙方已提用额度）均自动纳入并占用本协议项下对应授信额度（乙方在本协议项下所授予授信额度在计算可用额度时，应先行相应扣除乙方在原协议项下已提用额度）；</w:t>
      </w:r>
    </w:p>
    <w:p w14:paraId="3D609117">
      <w:pPr>
        <w:pStyle w:val="9"/>
        <w:spacing w:line="372" w:lineRule="exact"/>
        <w:ind w:left="1160" w:leftChars="267" w:hanging="306" w:hangingChars="146"/>
        <w:rPr>
          <w:bCs/>
          <w:kern w:val="0"/>
          <w:szCs w:val="21"/>
        </w:rPr>
      </w:pPr>
      <w:r>
        <w:rPr>
          <w:bCs/>
          <w:kern w:val="0"/>
          <w:szCs w:val="21"/>
        </w:rPr>
        <w:t xml:space="preserve">2) </w:t>
      </w:r>
      <w:r>
        <w:rPr>
          <w:rFonts w:hint="eastAsia"/>
          <w:bCs/>
          <w:kern w:val="0"/>
          <w:szCs w:val="21"/>
        </w:rPr>
        <w:t>乙方在原协议项下已提用额度及项下债务继续按照原协议及</w:t>
      </w:r>
      <w:r>
        <w:rPr>
          <w:bCs/>
          <w:kern w:val="0"/>
          <w:szCs w:val="21"/>
        </w:rPr>
        <w:t>/</w:t>
      </w:r>
      <w:r>
        <w:rPr>
          <w:rFonts w:hint="eastAsia"/>
          <w:bCs/>
          <w:kern w:val="0"/>
          <w:szCs w:val="21"/>
        </w:rPr>
        <w:t>或其担保文件（若有）相关条件和条款履行，直至乙方清偿完毕原协议项下所欠甲方所有债务后自动终止；此后按本协议履行。</w:t>
      </w:r>
    </w:p>
    <w:p w14:paraId="3E716203">
      <w:pPr>
        <w:pStyle w:val="9"/>
        <w:numPr>
          <w:ilvl w:val="1"/>
          <w:numId w:val="22"/>
        </w:numPr>
        <w:spacing w:line="372" w:lineRule="exact"/>
        <w:ind w:firstLineChars="0"/>
        <w:rPr>
          <w:bCs/>
          <w:kern w:val="0"/>
          <w:szCs w:val="21"/>
        </w:rPr>
      </w:pPr>
      <w:r>
        <w:rPr>
          <w:rFonts w:hint="eastAsia"/>
          <w:bCs/>
          <w:kern w:val="0"/>
          <w:szCs w:val="21"/>
        </w:rPr>
        <w:t>本协议正本一式</w:t>
      </w:r>
      <w:r>
        <w:rPr>
          <w:rFonts w:hint="eastAsia"/>
          <w:bCs/>
          <w:kern w:val="0"/>
          <w:szCs w:val="21"/>
          <w:u w:val="single"/>
          <w:lang w:val="en-US" w:eastAsia="zh-CN"/>
        </w:rPr>
        <w:t>叁</w:t>
      </w:r>
      <w:r>
        <w:rPr>
          <w:rFonts w:hint="eastAsia"/>
          <w:bCs/>
          <w:kern w:val="0"/>
          <w:szCs w:val="21"/>
        </w:rPr>
        <w:t>份，甲方执</w:t>
      </w:r>
      <w:r>
        <w:rPr>
          <w:rFonts w:hint="eastAsia"/>
          <w:bCs/>
          <w:kern w:val="0"/>
          <w:szCs w:val="21"/>
          <w:u w:val="single"/>
          <w:lang w:eastAsia="zh-CN"/>
        </w:rPr>
        <w:t>贰</w:t>
      </w:r>
      <w:r>
        <w:rPr>
          <w:rFonts w:hint="eastAsia"/>
          <w:bCs/>
          <w:kern w:val="0"/>
          <w:szCs w:val="21"/>
        </w:rPr>
        <w:t>份，乙方执</w:t>
      </w:r>
      <w:r>
        <w:rPr>
          <w:rFonts w:hint="eastAsia"/>
          <w:bCs/>
          <w:kern w:val="0"/>
          <w:szCs w:val="21"/>
          <w:lang w:eastAsia="zh-CN"/>
        </w:rPr>
        <w:t>壹</w:t>
      </w:r>
      <w:r>
        <w:rPr>
          <w:rFonts w:hint="eastAsia"/>
          <w:bCs/>
          <w:kern w:val="0"/>
          <w:szCs w:val="21"/>
        </w:rPr>
        <w:t>份以及</w:t>
      </w:r>
      <w:r>
        <w:rPr>
          <w:bCs/>
          <w:kern w:val="0"/>
          <w:szCs w:val="21"/>
        </w:rPr>
        <w:t xml:space="preserve"> </w:t>
      </w:r>
      <w:r>
        <w:rPr>
          <w:rFonts w:hint="eastAsia"/>
          <w:bCs/>
          <w:kern w:val="0"/>
          <w:szCs w:val="21"/>
        </w:rPr>
        <w:t>□</w:t>
      </w:r>
      <w:r>
        <w:rPr>
          <w:bCs/>
          <w:kern w:val="0"/>
          <w:szCs w:val="21"/>
        </w:rPr>
        <w:t xml:space="preserve"> </w:t>
      </w:r>
      <w:r>
        <w:rPr>
          <w:rFonts w:hint="eastAsia"/>
          <w:bCs/>
          <w:kern w:val="0"/>
          <w:szCs w:val="21"/>
        </w:rPr>
        <w:t>担保人执</w:t>
      </w:r>
      <w:r>
        <w:rPr>
          <w:bCs/>
          <w:kern w:val="0"/>
          <w:szCs w:val="21"/>
        </w:rPr>
        <w:t>_____</w:t>
      </w:r>
      <w:r>
        <w:rPr>
          <w:rFonts w:hint="eastAsia"/>
          <w:bCs/>
          <w:kern w:val="0"/>
          <w:szCs w:val="21"/>
        </w:rPr>
        <w:t>份、</w:t>
      </w:r>
      <w:r>
        <w:rPr>
          <w:bCs/>
          <w:kern w:val="0"/>
          <w:szCs w:val="21"/>
        </w:rPr>
        <w:t xml:space="preserve"> </w:t>
      </w:r>
      <w:r>
        <w:rPr>
          <w:rFonts w:hint="eastAsia"/>
          <w:bCs/>
          <w:kern w:val="0"/>
          <w:szCs w:val="21"/>
        </w:rPr>
        <w:t>□</w:t>
      </w:r>
      <w:r>
        <w:rPr>
          <w:bCs/>
          <w:kern w:val="0"/>
          <w:szCs w:val="21"/>
        </w:rPr>
        <w:t xml:space="preserve"> </w:t>
      </w:r>
      <w:r>
        <w:rPr>
          <w:rFonts w:hint="eastAsia"/>
          <w:bCs/>
          <w:kern w:val="0"/>
          <w:szCs w:val="21"/>
        </w:rPr>
        <w:t>登记机关执</w:t>
      </w:r>
      <w:r>
        <w:rPr>
          <w:bCs/>
          <w:kern w:val="0"/>
          <w:szCs w:val="21"/>
        </w:rPr>
        <w:t>_____</w:t>
      </w:r>
      <w:r>
        <w:rPr>
          <w:rFonts w:hint="eastAsia"/>
          <w:bCs/>
          <w:kern w:val="0"/>
          <w:szCs w:val="21"/>
        </w:rPr>
        <w:t>份，具有同等法律效力。</w:t>
      </w:r>
    </w:p>
    <w:p w14:paraId="5A93BBB6">
      <w:pPr>
        <w:spacing w:line="372" w:lineRule="exact"/>
        <w:rPr>
          <w:rFonts w:eastAsia="宋体"/>
          <w:kern w:val="0"/>
          <w:sz w:val="21"/>
          <w:szCs w:val="21"/>
        </w:rPr>
      </w:pPr>
    </w:p>
    <w:p w14:paraId="572C62AC">
      <w:pPr>
        <w:spacing w:line="350" w:lineRule="exact"/>
        <w:rPr>
          <w:rFonts w:eastAsia="宋体"/>
          <w:kern w:val="0"/>
          <w:sz w:val="21"/>
          <w:szCs w:val="21"/>
        </w:rPr>
      </w:pPr>
    </w:p>
    <w:p w14:paraId="3BF87F16">
      <w:pPr>
        <w:pBdr>
          <w:top w:val="single" w:color="auto" w:sz="6" w:space="1"/>
          <w:bottom w:val="single" w:color="auto" w:sz="6" w:space="1"/>
        </w:pBdr>
        <w:spacing w:line="360" w:lineRule="exact"/>
        <w:jc w:val="left"/>
        <w:textAlignment w:val="center"/>
        <w:rPr>
          <w:rFonts w:eastAsiaTheme="majorEastAsia"/>
          <w:b/>
          <w:snapToGrid w:val="0"/>
          <w:kern w:val="0"/>
          <w:sz w:val="21"/>
          <w:szCs w:val="21"/>
        </w:rPr>
      </w:pPr>
      <w:r>
        <w:rPr>
          <w:rFonts w:eastAsiaTheme="majorEastAsia"/>
          <w:b/>
          <w:snapToGrid w:val="0"/>
          <w:kern w:val="0"/>
          <w:sz w:val="21"/>
          <w:szCs w:val="21"/>
        </w:rPr>
        <w:t>致签约方的温馨提示：</w:t>
      </w:r>
      <w:r>
        <w:rPr>
          <w:rFonts w:hint="eastAsia" w:eastAsiaTheme="majorEastAsia"/>
          <w:b/>
          <w:snapToGrid w:val="0"/>
          <w:kern w:val="0"/>
          <w:sz w:val="21"/>
          <w:szCs w:val="21"/>
        </w:rPr>
        <w:t>如您对本协议存在任何意见或建议，您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我行受理您的问题后，将在15日内核实并为您提供解决方案。</w:t>
      </w:r>
    </w:p>
    <w:p w14:paraId="4DD61916">
      <w:pPr>
        <w:spacing w:line="360" w:lineRule="exact"/>
        <w:rPr>
          <w:rFonts w:eastAsia="宋体"/>
          <w:kern w:val="0"/>
          <w:sz w:val="21"/>
          <w:szCs w:val="21"/>
        </w:rPr>
      </w:pPr>
    </w:p>
    <w:tbl>
      <w:tblPr>
        <w:tblStyle w:val="6"/>
        <w:tblW w:w="4937"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5"/>
      </w:tblGrid>
      <w:tr w14:paraId="0599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5000" w:type="pct"/>
          </w:tcPr>
          <w:p w14:paraId="384949EB">
            <w:pPr>
              <w:adjustRightInd w:val="0"/>
              <w:spacing w:line="360" w:lineRule="exact"/>
              <w:rPr>
                <w:rFonts w:ascii="Arial" w:hAnsi="Arial" w:eastAsia="宋体"/>
                <w:b/>
                <w:kern w:val="0"/>
                <w:sz w:val="21"/>
                <w:szCs w:val="24"/>
              </w:rPr>
            </w:pPr>
            <w:r>
              <w:rPr>
                <w:rFonts w:hint="eastAsia" w:ascii="Arial" w:hAnsi="Arial" w:eastAsia="宋体"/>
                <w:b/>
                <w:kern w:val="0"/>
                <w:sz w:val="21"/>
                <w:szCs w:val="32"/>
              </w:rPr>
              <w:t>本协议当事方在此不可撤销地确认和声明其已各自对前述协议文件内容进行了充分阅读、理解并确认同意，且甲方已就前述协议文件中的重要及</w:t>
            </w:r>
            <w:r>
              <w:rPr>
                <w:rFonts w:ascii="Arial" w:hAnsi="Arial" w:eastAsia="宋体"/>
                <w:b/>
                <w:kern w:val="0"/>
                <w:sz w:val="21"/>
                <w:szCs w:val="32"/>
              </w:rPr>
              <w:t>/</w:t>
            </w:r>
            <w:r>
              <w:rPr>
                <w:rFonts w:hint="eastAsia" w:ascii="Arial" w:hAnsi="Arial" w:eastAsia="宋体"/>
                <w:b/>
                <w:kern w:val="0"/>
                <w:sz w:val="21"/>
                <w:szCs w:val="32"/>
              </w:rPr>
              <w:t>或加粗提示条款向乙方提供了必要的解释和说明；据此，当事方在此签署如下：</w:t>
            </w:r>
          </w:p>
        </w:tc>
      </w:tr>
    </w:tbl>
    <w:p w14:paraId="280B1716">
      <w:pPr>
        <w:adjustRightInd w:val="0"/>
        <w:spacing w:line="360" w:lineRule="exact"/>
        <w:rPr>
          <w:rFonts w:eastAsia="宋体"/>
          <w:kern w:val="0"/>
          <w:sz w:val="21"/>
          <w:szCs w:val="22"/>
        </w:rPr>
      </w:pPr>
    </w:p>
    <w:p w14:paraId="3D189FED">
      <w:pPr>
        <w:spacing w:line="360" w:lineRule="exact"/>
        <w:rPr>
          <w:rFonts w:eastAsia="宋体"/>
          <w:kern w:val="0"/>
          <w:sz w:val="21"/>
          <w:szCs w:val="22"/>
        </w:rPr>
      </w:pPr>
      <w:r>
        <w:rPr>
          <w:rFonts w:hint="eastAsia" w:eastAsia="宋体"/>
          <w:b/>
          <w:kern w:val="0"/>
          <w:sz w:val="21"/>
          <w:szCs w:val="22"/>
        </w:rPr>
        <w:t>甲方（盖章）：平安银行股份有限公司</w:t>
      </w:r>
      <w:r>
        <w:rPr>
          <w:rFonts w:hint="eastAsia" w:ascii="Times New Roman" w:hAnsi="Times New Roman" w:eastAsia="宋体" w:cs="Times New Roman"/>
          <w:b/>
          <w:kern w:val="0"/>
          <w:sz w:val="21"/>
          <w:szCs w:val="22"/>
          <w:u w:val="single"/>
          <w:lang w:val="en-US" w:eastAsia="zh-CN" w:bidi="ar-SA"/>
        </w:rPr>
        <w:t>{{所在分行}}</w:t>
      </w:r>
    </w:p>
    <w:p w14:paraId="4941683D">
      <w:pPr>
        <w:spacing w:line="360" w:lineRule="exact"/>
        <w:rPr>
          <w:rFonts w:eastAsia="宋体"/>
          <w:kern w:val="0"/>
          <w:sz w:val="21"/>
          <w:szCs w:val="22"/>
        </w:rPr>
      </w:pPr>
      <w:r>
        <w:rPr>
          <w:rFonts w:hint="eastAsia" w:eastAsia="宋体"/>
          <w:kern w:val="0"/>
          <w:sz w:val="21"/>
          <w:szCs w:val="22"/>
        </w:rPr>
        <w:t>法定代表人（负责人）或委托代理人（签署）：</w:t>
      </w:r>
    </w:p>
    <w:p w14:paraId="5DEBEFFE">
      <w:pPr>
        <w:spacing w:line="360" w:lineRule="exact"/>
        <w:rPr>
          <w:rFonts w:eastAsia="宋体"/>
          <w:kern w:val="0"/>
          <w:sz w:val="21"/>
          <w:szCs w:val="22"/>
        </w:rPr>
      </w:pPr>
    </w:p>
    <w:p w14:paraId="40C7D6BE">
      <w:pPr>
        <w:spacing w:line="360" w:lineRule="exact"/>
        <w:rPr>
          <w:rFonts w:eastAsia="宋体"/>
          <w:kern w:val="0"/>
          <w:sz w:val="21"/>
          <w:szCs w:val="22"/>
        </w:rPr>
      </w:pPr>
    </w:p>
    <w:p w14:paraId="10F8267C">
      <w:pPr>
        <w:spacing w:line="360" w:lineRule="exact"/>
        <w:rPr>
          <w:rFonts w:eastAsia="宋体"/>
          <w:kern w:val="0"/>
          <w:sz w:val="21"/>
          <w:szCs w:val="22"/>
        </w:rPr>
      </w:pPr>
      <w:r>
        <w:rPr>
          <w:rFonts w:eastAsia="宋体"/>
          <w:kern w:val="0"/>
          <w:sz w:val="21"/>
          <w:szCs w:val="22"/>
        </w:rPr>
        <w:t>_____________________________________________</w:t>
      </w:r>
    </w:p>
    <w:p w14:paraId="03D6A33B">
      <w:pPr>
        <w:spacing w:line="360" w:lineRule="exact"/>
        <w:rPr>
          <w:rFonts w:eastAsia="宋体"/>
          <w:kern w:val="0"/>
          <w:sz w:val="21"/>
          <w:szCs w:val="22"/>
        </w:rPr>
      </w:pPr>
      <w:r>
        <w:rPr>
          <w:rFonts w:hint="eastAsia" w:eastAsia="宋体"/>
          <w:kern w:val="0"/>
          <w:sz w:val="21"/>
          <w:szCs w:val="22"/>
        </w:rPr>
        <w:t>签署日：</w:t>
      </w:r>
      <w:r>
        <w:rPr>
          <w:rFonts w:eastAsia="宋体"/>
          <w:kern w:val="0"/>
          <w:sz w:val="21"/>
          <w:szCs w:val="22"/>
        </w:rPr>
        <w:t xml:space="preserve">   </w:t>
      </w:r>
      <w:r>
        <w:rPr>
          <w:rFonts w:hint="eastAsia" w:ascii="Times New Roman" w:hAnsi="Times New Roman" w:eastAsia="宋体" w:cs="Times New Roman"/>
          <w:kern w:val="0"/>
          <w:sz w:val="21"/>
          <w:szCs w:val="22"/>
          <w:lang w:val="en-US" w:eastAsia="zh-CN" w:bidi="ar-SA"/>
        </w:rPr>
        <w:t>{{额度启用日期}}</w:t>
      </w:r>
      <w:r>
        <w:rPr>
          <w:rFonts w:ascii="Times New Roman" w:hAnsi="Times New Roman" w:eastAsia="宋体" w:cs="Times New Roman"/>
          <w:kern w:val="0"/>
          <w:sz w:val="21"/>
          <w:szCs w:val="22"/>
          <w:u w:val="single"/>
          <w:lang w:val="en-US" w:eastAsia="zh-CN" w:bidi="ar-SA"/>
        </w:rPr>
        <w:t xml:space="preserve">    </w:t>
      </w:r>
      <w:r>
        <w:rPr>
          <w:rFonts w:hint="eastAsia" w:eastAsia="宋体"/>
          <w:kern w:val="0"/>
          <w:sz w:val="21"/>
          <w:szCs w:val="22"/>
        </w:rPr>
        <w:t>日</w:t>
      </w:r>
    </w:p>
    <w:p w14:paraId="4D377063">
      <w:pPr>
        <w:spacing w:line="360" w:lineRule="exact"/>
        <w:rPr>
          <w:rFonts w:eastAsia="宋体"/>
          <w:kern w:val="0"/>
          <w:sz w:val="21"/>
          <w:szCs w:val="22"/>
        </w:rPr>
      </w:pPr>
    </w:p>
    <w:p w14:paraId="189426AB">
      <w:pPr>
        <w:spacing w:line="360" w:lineRule="exact"/>
        <w:rPr>
          <w:rFonts w:eastAsia="宋体"/>
          <w:kern w:val="0"/>
          <w:sz w:val="21"/>
          <w:szCs w:val="22"/>
        </w:rPr>
      </w:pPr>
      <w:r>
        <w:rPr>
          <w:rFonts w:hint="eastAsia" w:eastAsia="宋体"/>
          <w:b/>
          <w:kern w:val="0"/>
          <w:sz w:val="21"/>
          <w:szCs w:val="22"/>
        </w:rPr>
        <w:t>乙方（盖章）</w:t>
      </w:r>
      <w:r>
        <w:rPr>
          <w:rFonts w:hint="eastAsia" w:eastAsia="宋体"/>
          <w:kern w:val="0"/>
          <w:sz w:val="21"/>
          <w:szCs w:val="22"/>
        </w:rPr>
        <w:t>：</w:t>
      </w:r>
      <w:r>
        <w:rPr>
          <w:rFonts w:hint="eastAsia" w:ascii="Times New Roman" w:hAnsi="Times New Roman" w:eastAsia="宋体" w:cs="Times New Roman"/>
          <w:b/>
          <w:bCs/>
          <w:kern w:val="0"/>
          <w:sz w:val="21"/>
          <w:szCs w:val="22"/>
          <w:u w:val="single"/>
          <w:lang w:val="en-US" w:eastAsia="zh-CN" w:bidi="ar-SA"/>
        </w:rPr>
        <w:t>{{企业名称}}</w:t>
      </w:r>
    </w:p>
    <w:p w14:paraId="1393254C">
      <w:pPr>
        <w:spacing w:line="360" w:lineRule="exact"/>
        <w:rPr>
          <w:rFonts w:eastAsia="宋体"/>
          <w:kern w:val="0"/>
          <w:sz w:val="21"/>
          <w:szCs w:val="22"/>
        </w:rPr>
      </w:pPr>
      <w:r>
        <w:rPr>
          <w:rFonts w:hint="eastAsia" w:eastAsia="宋体"/>
          <w:kern w:val="0"/>
          <w:sz w:val="21"/>
          <w:szCs w:val="22"/>
        </w:rPr>
        <w:t>法定代表人或委托代理人（签署）：</w:t>
      </w:r>
    </w:p>
    <w:p w14:paraId="1806F58B">
      <w:pPr>
        <w:spacing w:line="360" w:lineRule="exact"/>
        <w:rPr>
          <w:rFonts w:eastAsia="宋体"/>
          <w:kern w:val="0"/>
          <w:sz w:val="21"/>
          <w:szCs w:val="22"/>
        </w:rPr>
      </w:pPr>
    </w:p>
    <w:p w14:paraId="55E56205">
      <w:pPr>
        <w:spacing w:line="360" w:lineRule="exact"/>
        <w:rPr>
          <w:rFonts w:eastAsia="宋体"/>
          <w:kern w:val="0"/>
          <w:sz w:val="21"/>
          <w:szCs w:val="22"/>
        </w:rPr>
      </w:pPr>
    </w:p>
    <w:p w14:paraId="18CC7457">
      <w:pPr>
        <w:spacing w:line="360" w:lineRule="exact"/>
        <w:rPr>
          <w:rFonts w:eastAsia="宋体"/>
          <w:kern w:val="0"/>
          <w:sz w:val="21"/>
          <w:szCs w:val="22"/>
        </w:rPr>
      </w:pPr>
      <w:r>
        <w:rPr>
          <w:rFonts w:eastAsia="宋体"/>
          <w:kern w:val="0"/>
          <w:sz w:val="21"/>
          <w:szCs w:val="22"/>
        </w:rPr>
        <w:t>_____________________________________________</w:t>
      </w:r>
    </w:p>
    <w:p w14:paraId="397399C0">
      <w:pPr>
        <w:spacing w:line="360" w:lineRule="exact"/>
        <w:rPr>
          <w:rFonts w:eastAsiaTheme="minorEastAsia"/>
          <w:sz w:val="21"/>
          <w:szCs w:val="21"/>
        </w:rPr>
      </w:pPr>
      <w:r>
        <w:rPr>
          <w:rFonts w:hint="eastAsia" w:eastAsia="宋体"/>
          <w:kern w:val="0"/>
          <w:sz w:val="21"/>
          <w:szCs w:val="22"/>
        </w:rPr>
        <w:t>签署日：</w:t>
      </w:r>
      <w:r>
        <w:rPr>
          <w:rFonts w:eastAsia="宋体"/>
          <w:kern w:val="0"/>
          <w:sz w:val="21"/>
          <w:szCs w:val="22"/>
        </w:rPr>
        <w:t xml:space="preserve">   </w:t>
      </w:r>
      <w:r>
        <w:rPr>
          <w:rFonts w:hint="eastAsia" w:ascii="Times New Roman" w:hAnsi="Times New Roman" w:eastAsia="宋体" w:cs="Times New Roman"/>
          <w:kern w:val="0"/>
          <w:sz w:val="21"/>
          <w:szCs w:val="22"/>
          <w:lang w:val="en-US" w:eastAsia="zh-CN" w:bidi="ar-SA"/>
        </w:rPr>
        <w:t>{{额度启用日期}}</w:t>
      </w:r>
      <w:bookmarkStart w:id="11" w:name="_GoBack"/>
      <w:r>
        <w:rPr>
          <w:rFonts w:ascii="Times New Roman" w:hAnsi="Times New Roman" w:eastAsia="宋体" w:cs="Times New Roman"/>
          <w:kern w:val="0"/>
          <w:sz w:val="21"/>
          <w:szCs w:val="22"/>
          <w:u w:val="single"/>
          <w:lang w:val="en-US" w:eastAsia="zh-CN" w:bidi="ar-SA"/>
        </w:rPr>
        <w:t xml:space="preserve">    </w:t>
      </w:r>
      <w:bookmarkEnd w:id="11"/>
      <w:r>
        <w:rPr>
          <w:rFonts w:hint="eastAsia" w:eastAsia="宋体"/>
          <w:kern w:val="0"/>
          <w:sz w:val="21"/>
          <w:szCs w:val="22"/>
        </w:rPr>
        <w:t>日</w:t>
      </w:r>
    </w:p>
    <w:p w14:paraId="173C131B"/>
    <w:sectPr>
      <w:footerReference r:id="rId7" w:type="first"/>
      <w:headerReference r:id="rId3" w:type="default"/>
      <w:footerReference r:id="rId5" w:type="default"/>
      <w:headerReference r:id="rId4" w:type="even"/>
      <w:footerReference r:id="rId6" w:type="even"/>
      <w:pgSz w:w="11906" w:h="16838"/>
      <w:pgMar w:top="1440" w:right="1800" w:bottom="1440" w:left="1800" w:header="851" w:footer="992" w:gutter="0"/>
      <w:pgNumType w:fmt="numberInDash" w:start="1"/>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国标宋体">
    <w:altName w:val="宋体"/>
    <w:panose1 w:val="02000500000000000000"/>
    <w:charset w:val="86"/>
    <w:family w:val="auto"/>
    <w:pitch w:val="default"/>
    <w:sig w:usb0="00000000" w:usb1="00000000" w:usb2="00000000" w:usb3="00000000" w:csb0="00060007" w:csb1="00000000"/>
  </w:font>
  <w:font w:name="Wingdings 2">
    <w:altName w:val="Wingdings"/>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6867">
    <w:pPr>
      <w:pStyle w:val="3"/>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430062">
                          <w:pPr>
                            <w:pStyle w:val="3"/>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C430062">
                    <w:pPr>
                      <w:pStyle w:val="3"/>
                    </w:pPr>
                    <w:r>
                      <w:fldChar w:fldCharType="begin"/>
                    </w:r>
                    <w:r>
                      <w:instrText xml:space="preserve"> PAGE  \* MERGEFORMAT </w:instrText>
                    </w:r>
                    <w:r>
                      <w:fldChar w:fldCharType="separate"/>
                    </w:r>
                    <w:r>
                      <w:t>- 1 -</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368"/>
                            <w:docPartObj>
                              <w:docPartGallery w:val="autotext"/>
                            </w:docPartObj>
                          </w:sdtPr>
                          <w:sdtContent>
                            <w:p w14:paraId="5294E723">
                              <w:pPr>
                                <w:pStyle w:val="3"/>
                                <w:jc w:val="right"/>
                              </w:pPr>
                            </w:p>
                          </w:sdtContent>
                        </w:sdt>
                        <w:p w14:paraId="41B18664"/>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47458368"/>
                      <w:docPartObj>
                        <w:docPartGallery w:val="autotext"/>
                      </w:docPartObj>
                    </w:sdtPr>
                    <w:sdtContent>
                      <w:p w14:paraId="5294E723">
                        <w:pPr>
                          <w:pStyle w:val="3"/>
                          <w:jc w:val="right"/>
                        </w:pPr>
                      </w:p>
                    </w:sdtContent>
                  </w:sdt>
                  <w:p w14:paraId="41B18664"/>
                </w:txbxContent>
              </v:textbox>
            </v:shape>
          </w:pict>
        </mc:Fallback>
      </mc:AlternateContent>
    </w:r>
  </w:p>
  <w:p w14:paraId="0C1078F1">
    <w:pPr>
      <w:pStyle w:val="3"/>
      <w:jc w:val="both"/>
      <w:rPr>
        <w:rFonts w:hint="default" w:eastAsia="仿宋_GB2312"/>
        <w:lang w:val="en-US" w:eastAsia="zh-CN"/>
      </w:rPr>
    </w:pPr>
    <w:r>
      <w:rPr>
        <w:rFonts w:ascii="Arial" w:hAnsi="Arial" w:cs="Arial"/>
        <w:i/>
      </w:rPr>
      <w:t>PABv</w:t>
    </w:r>
    <w:r>
      <w:rPr>
        <w:rFonts w:hint="eastAsia" w:ascii="Arial" w:hAnsi="Arial" w:cs="Arial"/>
        <w:i/>
        <w:lang w:val="en-US" w:eastAsia="zh-CN"/>
      </w:rPr>
      <w:t>{{额度启用日期缩写}}</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9558396"/>
      <w:docPartObj>
        <w:docPartGallery w:val="autotext"/>
      </w:docPartObj>
    </w:sdtPr>
    <w:sdtContent>
      <w:p w14:paraId="75CB96CD">
        <w:pPr>
          <w:pStyle w:val="3"/>
        </w:pPr>
        <w:r>
          <w:fldChar w:fldCharType="begin"/>
        </w:r>
        <w:r>
          <w:instrText xml:space="preserve">PAGE   \* MERGEFORMAT</w:instrText>
        </w:r>
        <w:r>
          <w:fldChar w:fldCharType="separate"/>
        </w:r>
        <w:r>
          <w:rPr>
            <w:lang w:val="zh-CN"/>
          </w:rPr>
          <w:t>-</w:t>
        </w:r>
        <w:r>
          <w:t xml:space="preserve"> 162 -</w:t>
        </w:r>
        <w:r>
          <w:fldChar w:fldCharType="end"/>
        </w:r>
      </w:p>
    </w:sdtContent>
  </w:sdt>
  <w:p w14:paraId="2F26F79E">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782938"/>
      <w:docPartObj>
        <w:docPartGallery w:val="autotext"/>
      </w:docPartObj>
    </w:sdtPr>
    <w:sdtContent>
      <w:p w14:paraId="5B9E0C93">
        <w:pPr>
          <w:pStyle w:val="3"/>
          <w:jc w:val="right"/>
        </w:pPr>
        <w:r>
          <w:fldChar w:fldCharType="begin"/>
        </w:r>
        <w:r>
          <w:instrText xml:space="preserve">PAGE   \* MERGEFORMAT</w:instrText>
        </w:r>
        <w:r>
          <w:fldChar w:fldCharType="separate"/>
        </w:r>
        <w:r>
          <w:rPr>
            <w:lang w:val="zh-CN"/>
          </w:rPr>
          <w:t>-</w:t>
        </w:r>
        <w:r>
          <w:t xml:space="preserve"> 159 -</w:t>
        </w:r>
        <w:r>
          <w:fldChar w:fldCharType="end"/>
        </w:r>
      </w:p>
    </w:sdtContent>
  </w:sdt>
  <w:p w14:paraId="6FD0F5B7">
    <w:pPr>
      <w:pStyle w:val="3"/>
      <w:rPr>
        <w:rFonts w:ascii="Arial" w:hAnsi="Arial" w:cs="Arial"/>
        <w: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68FA2">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5DB59">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45243"/>
    <w:multiLevelType w:val="multilevel"/>
    <w:tmpl w:val="03645243"/>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
    <w:nsid w:val="056406F3"/>
    <w:multiLevelType w:val="multilevel"/>
    <w:tmpl w:val="056406F3"/>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default" w:ascii="Times New Roman" w:hAnsi="Times New Roman" w:cs="Times New Roman" w:eastAsiaTheme="majorEastAsia"/>
        <w:b w:val="0"/>
      </w:rPr>
    </w:lvl>
    <w:lvl w:ilvl="2" w:tentative="0">
      <w:start w:val="1"/>
      <w:numFmt w:val="decimal"/>
      <w:lvlText w:val="4.2.%3"/>
      <w:lvlJc w:val="left"/>
      <w:pPr>
        <w:ind w:left="720" w:hanging="720"/>
      </w:pPr>
      <w:rPr>
        <w:rFonts w:hint="default" w:ascii="Times New Roman" w:hAnsi="Times New Roman" w:cs="Times New Roman"/>
        <w:b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07101433"/>
    <w:multiLevelType w:val="multilevel"/>
    <w:tmpl w:val="07101433"/>
    <w:lvl w:ilvl="0" w:tentative="0">
      <w:start w:val="1"/>
      <w:numFmt w:val="decimal"/>
      <w:lvlText w:val="%1"/>
      <w:lvlJc w:val="left"/>
      <w:pPr>
        <w:ind w:left="531" w:hanging="531"/>
      </w:pPr>
      <w:rPr>
        <w:rFonts w:hint="default"/>
      </w:rPr>
    </w:lvl>
    <w:lvl w:ilvl="1" w:tentative="0">
      <w:start w:val="1"/>
      <w:numFmt w:val="decimal"/>
      <w:lvlText w:val="3.%2"/>
      <w:lvlJc w:val="left"/>
      <w:pPr>
        <w:ind w:left="531" w:hanging="531"/>
      </w:pPr>
      <w:rPr>
        <w:rFonts w:hint="default" w:ascii="Times New Roman" w:hAnsi="Times New Roman" w:cs="Times New Roman"/>
        <w:b w:val="0"/>
      </w:rPr>
    </w:lvl>
    <w:lvl w:ilvl="2" w:tentative="0">
      <w:start w:val="1"/>
      <w:numFmt w:val="decimal"/>
      <w:lvlText w:val="3.2.%3"/>
      <w:lvlJc w:val="left"/>
      <w:pPr>
        <w:ind w:left="720" w:hanging="720"/>
      </w:pPr>
      <w:rPr>
        <w:rFonts w:hint="eastAsia"/>
        <w:b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
    <w:nsid w:val="11482C2B"/>
    <w:multiLevelType w:val="multilevel"/>
    <w:tmpl w:val="11482C2B"/>
    <w:lvl w:ilvl="0" w:tentative="0">
      <w:start w:val="1"/>
      <w:numFmt w:val="decimal"/>
      <w:lvlText w:val="10.1.%1"/>
      <w:lvlJc w:val="left"/>
      <w:pPr>
        <w:ind w:left="420" w:hanging="420"/>
      </w:pPr>
      <w:rPr>
        <w:rFonts w:hint="default" w:ascii="Times New Roman" w:hAnsi="Times New Roman" w:cs="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1604F20"/>
    <w:multiLevelType w:val="multilevel"/>
    <w:tmpl w:val="11604F20"/>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5">
    <w:nsid w:val="12AD2895"/>
    <w:multiLevelType w:val="multilevel"/>
    <w:tmpl w:val="12AD2895"/>
    <w:lvl w:ilvl="0" w:tentative="0">
      <w:start w:val="1"/>
      <w:numFmt w:val="decimal"/>
      <w:lvlText w:val="%1"/>
      <w:lvlJc w:val="left"/>
      <w:pPr>
        <w:ind w:left="531" w:hanging="531"/>
      </w:pPr>
      <w:rPr>
        <w:rFonts w:hint="default"/>
      </w:rPr>
    </w:lvl>
    <w:lvl w:ilvl="1" w:tentative="0">
      <w:start w:val="1"/>
      <w:numFmt w:val="decimal"/>
      <w:lvlText w:val="10.%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7F5447E"/>
    <w:multiLevelType w:val="multilevel"/>
    <w:tmpl w:val="17F5447E"/>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18620F8A"/>
    <w:multiLevelType w:val="multilevel"/>
    <w:tmpl w:val="18620F8A"/>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default" w:ascii="Times New Roman" w:hAnsi="Times New Roman" w:cs="Times New Roman" w:eastAsiaTheme="majorEastAsia"/>
        <w:b w:val="0"/>
      </w:rPr>
    </w:lvl>
    <w:lvl w:ilvl="2" w:tentative="0">
      <w:start w:val="1"/>
      <w:numFmt w:val="decimal"/>
      <w:lvlText w:val="4.1.%3"/>
      <w:lvlJc w:val="left"/>
      <w:pPr>
        <w:ind w:left="720" w:hanging="720"/>
      </w:pPr>
      <w:rPr>
        <w:rFonts w:hint="default" w:ascii="Times New Roman" w:hAnsi="Times New Roman" w:cs="Times New Roman"/>
        <w:b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8">
    <w:nsid w:val="22E31096"/>
    <w:multiLevelType w:val="multilevel"/>
    <w:tmpl w:val="22E31096"/>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9">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b w:val="0"/>
      </w:rPr>
    </w:lvl>
    <w:lvl w:ilvl="2" w:tentative="0">
      <w:start w:val="1"/>
      <w:numFmt w:val="lowerLetter"/>
      <w:lvlText w:val="(%3)"/>
      <w:lvlJc w:val="left"/>
      <w:pPr>
        <w:ind w:left="720" w:hanging="720"/>
      </w:pPr>
      <w:rPr>
        <w:rFonts w:hint="eastAsia"/>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329F3ECC"/>
    <w:multiLevelType w:val="multilevel"/>
    <w:tmpl w:val="329F3ECC"/>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34387FA1"/>
    <w:multiLevelType w:val="multilevel"/>
    <w:tmpl w:val="34387FA1"/>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2">
    <w:nsid w:val="3BC07A1B"/>
    <w:multiLevelType w:val="multilevel"/>
    <w:tmpl w:val="3BC07A1B"/>
    <w:lvl w:ilvl="0" w:tentative="0">
      <w:start w:val="1"/>
      <w:numFmt w:val="decimal"/>
      <w:lvlText w:val="（%1）"/>
      <w:lvlJc w:val="left"/>
      <w:pPr>
        <w:ind w:left="1260" w:hanging="420"/>
      </w:pPr>
      <w:rPr>
        <w:rFonts w:hint="eastAsia"/>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3BF91214"/>
    <w:multiLevelType w:val="multilevel"/>
    <w:tmpl w:val="3BF91214"/>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eastAsia"/>
        <w:b w:val="0"/>
      </w:rPr>
    </w:lvl>
    <w:lvl w:ilvl="2" w:tentative="0">
      <w:start w:val="1"/>
      <w:numFmt w:val="decimal"/>
      <w:lvlText w:val="4.1.%3"/>
      <w:lvlJc w:val="left"/>
      <w:pPr>
        <w:ind w:left="720" w:hanging="720"/>
      </w:pPr>
      <w:rPr>
        <w:rFonts w:hint="default" w:ascii="Times New Roman" w:hAnsi="Times New Roman" w:cs="Times New Roman"/>
        <w:b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45B57A1C"/>
    <w:multiLevelType w:val="multilevel"/>
    <w:tmpl w:val="45B57A1C"/>
    <w:lvl w:ilvl="0" w:tentative="0">
      <w:start w:val="1"/>
      <w:numFmt w:val="decimal"/>
      <w:lvlText w:val="（%1）"/>
      <w:lvlJc w:val="left"/>
      <w:pPr>
        <w:ind w:left="1260" w:hanging="420"/>
      </w:pPr>
      <w:rPr>
        <w:rFonts w:hint="eastAsia"/>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4C760E21"/>
    <w:multiLevelType w:val="multilevel"/>
    <w:tmpl w:val="4C760E21"/>
    <w:lvl w:ilvl="0" w:tentative="0">
      <w:start w:val="1"/>
      <w:numFmt w:val="decimal"/>
      <w:lvlText w:val="%1"/>
      <w:lvlJc w:val="left"/>
      <w:pPr>
        <w:ind w:left="531" w:hanging="531"/>
      </w:pPr>
      <w:rPr>
        <w:rFonts w:hint="default"/>
      </w:rPr>
    </w:lvl>
    <w:lvl w:ilvl="1" w:tentative="0">
      <w:start w:val="1"/>
      <w:numFmt w:val="decimal"/>
      <w:lvlText w:val="13.%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524C6AA5"/>
    <w:multiLevelType w:val="multilevel"/>
    <w:tmpl w:val="524C6AA5"/>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7">
    <w:nsid w:val="5429793A"/>
    <w:multiLevelType w:val="multilevel"/>
    <w:tmpl w:val="5429793A"/>
    <w:lvl w:ilvl="0" w:tentative="0">
      <w:start w:val="1"/>
      <w:numFmt w:val="decimal"/>
      <w:lvlText w:val="%1"/>
      <w:lvlJc w:val="left"/>
      <w:pPr>
        <w:ind w:left="531" w:hanging="531"/>
      </w:pPr>
      <w:rPr>
        <w:rFonts w:hint="default"/>
      </w:rPr>
    </w:lvl>
    <w:lvl w:ilvl="1" w:tentative="0">
      <w:start w:val="1"/>
      <w:numFmt w:val="decimal"/>
      <w:lvlText w:val="11.%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8">
    <w:nsid w:val="5FF92453"/>
    <w:multiLevelType w:val="multilevel"/>
    <w:tmpl w:val="5FF92453"/>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9">
    <w:nsid w:val="63F56FD3"/>
    <w:multiLevelType w:val="multilevel"/>
    <w:tmpl w:val="63F56FD3"/>
    <w:lvl w:ilvl="0" w:tentative="0">
      <w:start w:val="1"/>
      <w:numFmt w:val="decimal"/>
      <w:lvlText w:val="%1"/>
      <w:lvlJc w:val="left"/>
      <w:pPr>
        <w:ind w:left="531" w:hanging="531"/>
      </w:pPr>
      <w:rPr>
        <w:rFonts w:hint="default"/>
      </w:rPr>
    </w:lvl>
    <w:lvl w:ilvl="1" w:tentative="0">
      <w:start w:val="1"/>
      <w:numFmt w:val="decimal"/>
      <w:lvlText w:val="9.%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66EB216A"/>
    <w:multiLevelType w:val="multilevel"/>
    <w:tmpl w:val="66EB216A"/>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default" w:ascii="Times New Roman" w:hAnsi="Times New Roman" w:cs="Times New Roman"/>
        <w:b w:val="0"/>
      </w:rPr>
    </w:lvl>
    <w:lvl w:ilvl="2" w:tentative="0">
      <w:start w:val="1"/>
      <w:numFmt w:val="decimal"/>
      <w:lvlText w:val="2.1.%3"/>
      <w:lvlJc w:val="left"/>
      <w:pPr>
        <w:ind w:left="6816" w:hanging="720"/>
      </w:pPr>
      <w:rPr>
        <w:rFonts w:hint="eastAsia"/>
        <w:b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696522B2"/>
    <w:multiLevelType w:val="multilevel"/>
    <w:tmpl w:val="696522B2"/>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06B07A4"/>
    <w:multiLevelType w:val="multilevel"/>
    <w:tmpl w:val="706B07A4"/>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3">
    <w:nsid w:val="747C0C22"/>
    <w:multiLevelType w:val="multilevel"/>
    <w:tmpl w:val="747C0C22"/>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4">
    <w:nsid w:val="7FED04D2"/>
    <w:multiLevelType w:val="multilevel"/>
    <w:tmpl w:val="7FED04D2"/>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num w:numId="1">
    <w:abstractNumId w:val="21"/>
  </w:num>
  <w:num w:numId="2">
    <w:abstractNumId w:val="9"/>
  </w:num>
  <w:num w:numId="3">
    <w:abstractNumId w:val="22"/>
  </w:num>
  <w:num w:numId="4">
    <w:abstractNumId w:val="20"/>
  </w:num>
  <w:num w:numId="5">
    <w:abstractNumId w:val="2"/>
  </w:num>
  <w:num w:numId="6">
    <w:abstractNumId w:val="0"/>
  </w:num>
  <w:num w:numId="7">
    <w:abstractNumId w:val="16"/>
  </w:num>
  <w:num w:numId="8">
    <w:abstractNumId w:val="7"/>
  </w:num>
  <w:num w:numId="9">
    <w:abstractNumId w:val="1"/>
  </w:num>
  <w:num w:numId="10">
    <w:abstractNumId w:val="13"/>
  </w:num>
  <w:num w:numId="11">
    <w:abstractNumId w:val="18"/>
  </w:num>
  <w:num w:numId="12">
    <w:abstractNumId w:val="10"/>
  </w:num>
  <w:num w:numId="13">
    <w:abstractNumId w:val="11"/>
  </w:num>
  <w:num w:numId="14">
    <w:abstractNumId w:val="23"/>
  </w:num>
  <w:num w:numId="15">
    <w:abstractNumId w:val="19"/>
  </w:num>
  <w:num w:numId="16">
    <w:abstractNumId w:val="14"/>
  </w:num>
  <w:num w:numId="17">
    <w:abstractNumId w:val="12"/>
  </w:num>
  <w:num w:numId="18">
    <w:abstractNumId w:val="5"/>
  </w:num>
  <w:num w:numId="19">
    <w:abstractNumId w:val="3"/>
  </w:num>
  <w:num w:numId="20">
    <w:abstractNumId w:val="8"/>
  </w:num>
  <w:num w:numId="21">
    <w:abstractNumId w:val="17"/>
  </w:num>
  <w:num w:numId="22">
    <w:abstractNumId w:val="15"/>
  </w:num>
  <w:num w:numId="23">
    <w:abstractNumId w:val="4"/>
  </w:num>
  <w:num w:numId="24">
    <w:abstractNumId w:val="2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04482"/>
    <w:rsid w:val="0896299B"/>
    <w:rsid w:val="0BC2795A"/>
    <w:rsid w:val="0D004C93"/>
    <w:rsid w:val="0DEE3F0F"/>
    <w:rsid w:val="11DC71F8"/>
    <w:rsid w:val="13343592"/>
    <w:rsid w:val="17836BED"/>
    <w:rsid w:val="19355CC5"/>
    <w:rsid w:val="1B8C6CA7"/>
    <w:rsid w:val="1EC00EDE"/>
    <w:rsid w:val="1F0D1AB3"/>
    <w:rsid w:val="200A7EAB"/>
    <w:rsid w:val="28035FB0"/>
    <w:rsid w:val="2E881373"/>
    <w:rsid w:val="2F1100A5"/>
    <w:rsid w:val="3050696D"/>
    <w:rsid w:val="36FC12FD"/>
    <w:rsid w:val="38DE5CD0"/>
    <w:rsid w:val="39627FB8"/>
    <w:rsid w:val="39F10359"/>
    <w:rsid w:val="449425F5"/>
    <w:rsid w:val="46237301"/>
    <w:rsid w:val="4852493A"/>
    <w:rsid w:val="493233E2"/>
    <w:rsid w:val="4B592F97"/>
    <w:rsid w:val="4BA95F1B"/>
    <w:rsid w:val="4C2E535E"/>
    <w:rsid w:val="4F93361D"/>
    <w:rsid w:val="4FE64625"/>
    <w:rsid w:val="507A1C34"/>
    <w:rsid w:val="59A22E64"/>
    <w:rsid w:val="5A5D31A1"/>
    <w:rsid w:val="5EB15AF4"/>
    <w:rsid w:val="6066337F"/>
    <w:rsid w:val="60A551C1"/>
    <w:rsid w:val="621668B9"/>
    <w:rsid w:val="656B33D9"/>
    <w:rsid w:val="6B2F1738"/>
    <w:rsid w:val="6D9A5756"/>
    <w:rsid w:val="6EA11F3F"/>
    <w:rsid w:val="76F51E90"/>
    <w:rsid w:val="7B075F5C"/>
    <w:rsid w:val="7FEE4EC4"/>
    <w:rsid w:val="CBF7E158"/>
    <w:rsid w:val="E93BAC5D"/>
    <w:rsid w:val="FDBBAA21"/>
    <w:rsid w:val="FDDB3D51"/>
    <w:rsid w:val="FEEB6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0"/>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semiHidden/>
    <w:unhideWhenUsed/>
    <w:qFormat/>
    <w:uiPriority w:val="99"/>
    <w:rPr>
      <w:color w:val="0000FF"/>
      <w:u w:val="single"/>
    </w:rPr>
  </w:style>
  <w:style w:type="paragraph" w:styleId="9">
    <w:name w:val="List Paragraph"/>
    <w:basedOn w:val="1"/>
    <w:qFormat/>
    <w:uiPriority w:val="34"/>
    <w:pPr>
      <w:ind w:firstLine="420" w:firstLineChars="200"/>
    </w:pPr>
    <w:rPr>
      <w:rFonts w:eastAsia="宋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14342</Words>
  <Characters>15464</Characters>
  <Lines>0</Lines>
  <Paragraphs>0</Paragraphs>
  <TotalTime>0</TotalTime>
  <ScaleCrop>false</ScaleCrop>
  <LinksUpToDate>false</LinksUpToDate>
  <CharactersWithSpaces>15554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2025-11-14T20:41:00Z</dcterms:created>
  <dc:creator>jinyinghan285</dc:creator>
  <cp:lastModifiedBy>马延</cp:lastModifiedBy>
  <dcterms:modified xsi:type="dcterms:W3CDTF">2026-03-10T14:02:03Z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51B49B41CA46433B8D6D68A81485A3ED</vt:lpwstr>
  </property>
  <property fmtid="{D5CDD505-2E9C-101B-9397-08002B2CF9AE}" pid="4" name="KSOTemplateDocerSaveRecord">
    <vt:lpwstr>eyJoZGlkIjoiYjVjZWQwYTQ4OWU2ZDM3YmRmYzEwNmEyZjVhMDk1ODUiLCJ1c2VySWQiOiIxNTM5NTA0MjMwIn0=</vt:lpwstr>
  </property>
</Properties>
</file>