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915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41"/>
        <w:gridCol w:w="8273"/>
      </w:tblGrid>
      <w:tr>
        <w:trPr>
          <w:trHeight w:val="340" w:hRule="atLeast"/>
        </w:trPr>
        <w:tc>
          <w:tcPr>
            <w:tcW w:w="2641" w:type="dxa"/>
            <w:tcBorders/>
            <w:shd w:color="auto" w:fill="8B6F4B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Calibri" w:hAnsi="Calibri" w:eastAsia="Calibri" w:cs="Arial"/>
                <w:b/>
                <w:bCs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Calibri" w:ascii="Garamond" w:hAnsi="Garamond" w:cstheme="minorHAnsi"/>
                <w:b/>
                <w:bCs/>
                <w:kern w:val="0"/>
                <w:sz w:val="24"/>
                <w:szCs w:val="24"/>
                <w:lang w:val="en-GB" w:eastAsia="en-US" w:bidi="ar-SA"/>
              </w:rPr>
              <w:t>Title</w:t>
            </w:r>
          </w:p>
        </w:tc>
        <w:tc>
          <w:tcPr>
            <w:tcW w:w="8273" w:type="dxa"/>
            <w:tcBorders/>
          </w:tcPr>
          <w:p>
            <w:pPr>
              <w:pStyle w:val="Title"/>
              <w:widowControl/>
              <w:suppressAutoHyphens w:val="true"/>
              <w:spacing w:before="0" w:after="100"/>
              <w:jc w:val="left"/>
              <w:rPr>
                <w:rFonts w:eastAsia="Calibri"/>
                <w:kern w:val="0"/>
                <w:lang w:val="en-GB" w:eastAsia="en-US" w:bidi="ar-SA"/>
              </w:rPr>
            </w:pPr>
            <w:r>
              <w:rPr>
                <w:rFonts w:eastAsia="Calibri"/>
                <w:kern w:val="0"/>
                <w:lang w:val="en-GB" w:eastAsia="en-US" w:bidi="ar-SA"/>
              </w:rPr>
              <w:t>Architecture Glossary</w:t>
            </w:r>
          </w:p>
        </w:tc>
      </w:tr>
      <w:tr>
        <w:trPr>
          <w:trHeight w:val="340" w:hRule="atLeast"/>
        </w:trPr>
        <w:tc>
          <w:tcPr>
            <w:tcW w:w="2641" w:type="dxa"/>
            <w:tcBorders/>
            <w:shd w:color="auto" w:fill="DAD5D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Calibri" w:cstheme="minorHAnsi"/>
                <w:b/>
                <w:sz w:val="24"/>
                <w:szCs w:val="24"/>
              </w:rPr>
            </w:pPr>
            <w:r>
              <w:rPr>
                <w:rFonts w:eastAsia="Calibri" w:cs="Calibri" w:ascii="Garamond" w:hAnsi="Garamond" w:cstheme="minorHAnsi"/>
                <w:b/>
                <w:kern w:val="0"/>
                <w:sz w:val="24"/>
                <w:szCs w:val="24"/>
                <w:lang w:val="en-GB" w:eastAsia="en-US" w:bidi="ar-SA"/>
              </w:rPr>
              <w:t>Owner</w:t>
            </w:r>
          </w:p>
        </w:tc>
        <w:tc>
          <w:tcPr>
            <w:tcW w:w="8273" w:type="dxa"/>
            <w:tcBorders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cs="Arial" w:ascii="Garamond" w:hAnsi="Garamond"/>
                <w:kern w:val="0"/>
                <w:sz w:val="24"/>
                <w:szCs w:val="24"/>
                <w:lang w:val="en-GB" w:eastAsia="en-US" w:bidi="ar-SA"/>
              </w:rPr>
              <w:t>Architecture Board</w:t>
            </w:r>
          </w:p>
        </w:tc>
      </w:tr>
      <w:tr>
        <w:trPr>
          <w:trHeight w:val="340" w:hRule="atLeast"/>
        </w:trPr>
        <w:tc>
          <w:tcPr>
            <w:tcW w:w="2641" w:type="dxa"/>
            <w:tcBorders/>
            <w:shd w:color="auto" w:fill="DAD5D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Calibri" w:cstheme="minorHAnsi"/>
                <w:b/>
                <w:sz w:val="24"/>
                <w:szCs w:val="24"/>
              </w:rPr>
            </w:pPr>
            <w:r>
              <w:rPr>
                <w:rFonts w:eastAsia="Calibri" w:cs="Calibri" w:ascii="Garamond" w:hAnsi="Garamond" w:cstheme="minorHAnsi"/>
                <w:b/>
                <w:kern w:val="0"/>
                <w:sz w:val="24"/>
                <w:szCs w:val="24"/>
                <w:lang w:val="en-GB" w:eastAsia="en-US" w:bidi="ar-SA"/>
              </w:rPr>
              <w:t>Version Number</w:t>
            </w:r>
          </w:p>
        </w:tc>
        <w:tc>
          <w:tcPr>
            <w:tcW w:w="8273" w:type="dxa"/>
            <w:tcBorders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Calibri" w:cstheme="minorHAnsi"/>
                <w:sz w:val="24"/>
                <w:szCs w:val="24"/>
              </w:rPr>
            </w:pPr>
            <w:r>
              <w:rPr>
                <w:rFonts w:cs="Calibri" w:cstheme="minorHAnsi" w:ascii="Garamond" w:hAnsi="Garamond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41" w:type="dxa"/>
            <w:tcBorders/>
            <w:shd w:color="auto" w:fill="DAD5D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Calibri" w:cstheme="minorHAnsi"/>
                <w:b/>
                <w:sz w:val="24"/>
                <w:szCs w:val="24"/>
              </w:rPr>
            </w:pPr>
            <w:r>
              <w:rPr>
                <w:rFonts w:eastAsia="Calibri" w:cs="Calibri" w:ascii="Garamond" w:hAnsi="Garamond" w:cstheme="minorHAnsi"/>
                <w:b/>
                <w:kern w:val="0"/>
                <w:sz w:val="24"/>
                <w:szCs w:val="24"/>
                <w:lang w:val="en-GB" w:eastAsia="en-US" w:bidi="ar-SA"/>
              </w:rPr>
              <w:t>Document Id</w:t>
            </w:r>
          </w:p>
        </w:tc>
        <w:tc>
          <w:tcPr>
            <w:tcW w:w="8273" w:type="dxa"/>
            <w:tcBorders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Calibri" w:cstheme="minorHAnsi"/>
                <w:sz w:val="24"/>
                <w:szCs w:val="24"/>
              </w:rPr>
            </w:pPr>
            <w:r>
              <w:rPr>
                <w:rFonts w:cs="Calibri" w:cstheme="minorHAnsi" w:ascii="Garamond" w:hAnsi="Garamond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41" w:type="dxa"/>
            <w:tcBorders/>
            <w:shd w:color="auto" w:fill="DAD5D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Calibri" w:cstheme="minorHAnsi"/>
                <w:b/>
                <w:sz w:val="24"/>
                <w:szCs w:val="24"/>
              </w:rPr>
            </w:pPr>
            <w:r>
              <w:rPr>
                <w:rFonts w:eastAsia="Calibri" w:cs="Calibri" w:ascii="Garamond" w:hAnsi="Garamond" w:cstheme="minorHAnsi"/>
                <w:b/>
                <w:kern w:val="0"/>
                <w:sz w:val="24"/>
                <w:szCs w:val="24"/>
                <w:lang w:val="en-GB" w:eastAsia="en-US" w:bidi="ar-SA"/>
              </w:rPr>
              <w:t>Primary Audience</w:t>
            </w:r>
          </w:p>
        </w:tc>
        <w:tc>
          <w:tcPr>
            <w:tcW w:w="8273" w:type="dxa"/>
            <w:tcBorders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Calibri" w:cstheme="minorHAnsi"/>
                <w:sz w:val="24"/>
                <w:szCs w:val="24"/>
              </w:rPr>
            </w:pPr>
            <w:r>
              <w:rPr>
                <w:rFonts w:eastAsia="Calibri" w:cs="Calibri" w:ascii="Garamond" w:hAnsi="Garamond" w:cstheme="minorHAnsi"/>
                <w:kern w:val="0"/>
                <w:sz w:val="24"/>
                <w:szCs w:val="24"/>
                <w:lang w:val="en-GB" w:eastAsia="en-US" w:bidi="ar-SA"/>
              </w:rPr>
              <w:t>All staff including self-employed planners and contractors</w:t>
            </w:r>
          </w:p>
        </w:tc>
      </w:tr>
      <w:tr>
        <w:trPr>
          <w:trHeight w:val="340" w:hRule="atLeast"/>
        </w:trPr>
        <w:tc>
          <w:tcPr>
            <w:tcW w:w="2641" w:type="dxa"/>
            <w:tcBorders/>
            <w:shd w:color="auto" w:fill="DAD5D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Calibri" w:cstheme="minorHAnsi"/>
                <w:b/>
                <w:sz w:val="24"/>
                <w:szCs w:val="24"/>
              </w:rPr>
            </w:pPr>
            <w:r>
              <w:rPr>
                <w:rFonts w:eastAsia="Calibri" w:cs="Calibri" w:ascii="Garamond" w:hAnsi="Garamond" w:cstheme="minorHAnsi"/>
                <w:b/>
                <w:kern w:val="0"/>
                <w:sz w:val="24"/>
                <w:szCs w:val="24"/>
                <w:lang w:val="en-GB" w:eastAsia="en-US" w:bidi="ar-SA"/>
              </w:rPr>
              <w:t>Document Location</w:t>
            </w:r>
          </w:p>
        </w:tc>
        <w:tc>
          <w:tcPr>
            <w:tcW w:w="8273" w:type="dxa"/>
            <w:tcBorders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Segoe UI"/>
                <w:sz w:val="24"/>
                <w:szCs w:val="24"/>
              </w:rPr>
            </w:pPr>
            <w:r>
              <w:rPr>
                <w:rFonts w:cs="Segoe UI" w:ascii="Garamond" w:hAnsi="Garamond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41" w:type="dxa"/>
            <w:tcBorders/>
            <w:shd w:color="auto" w:fill="DAD5D0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 w:cs="Calibri" w:cstheme="minorHAnsi"/>
                <w:b/>
                <w:bCs/>
                <w:sz w:val="24"/>
                <w:szCs w:val="24"/>
              </w:rPr>
            </w:pPr>
            <w:r>
              <w:rPr>
                <w:rFonts w:eastAsia="Calibri" w:cs="Arial" w:ascii="Garamond" w:hAnsi="Garamond"/>
                <w:b/>
                <w:bCs/>
                <w:kern w:val="0"/>
                <w:sz w:val="24"/>
                <w:szCs w:val="24"/>
                <w:lang w:val="en-GB" w:eastAsia="en-US" w:bidi="ar-SA"/>
              </w:rPr>
              <w:t>Next Review Date</w:t>
            </w:r>
          </w:p>
        </w:tc>
        <w:tc>
          <w:tcPr>
            <w:tcW w:w="8273" w:type="dxa"/>
            <w:tcBorders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Garamond" w:hAnsi="Garamond"/>
                <w:sz w:val="24"/>
                <w:szCs w:val="24"/>
              </w:rPr>
            </w:pPr>
            <w:r>
              <w:rPr>
                <w:rFonts w:eastAsia="Calibri" w:cs="Arial" w:ascii="Garamond" w:hAnsi="Garamond"/>
                <w:kern w:val="0"/>
                <w:sz w:val="24"/>
                <w:szCs w:val="24"/>
                <w:lang w:val="en-GB" w:eastAsia="en-US" w:bidi="ar-SA"/>
              </w:rPr>
              <w:t>This glossary is regularly updated</w:t>
            </w:r>
          </w:p>
        </w:tc>
      </w:tr>
    </w:tbl>
    <w:p>
      <w:pPr>
        <w:pStyle w:val="Normal"/>
        <w:rPr>
          <w:rFonts w:ascii="Garamond" w:hAnsi="Garamond" w:cs="Calibri" w:cstheme="minorHAnsi"/>
          <w:b/>
          <w:color w:themeColor="background1" w:val="FFFFFF"/>
          <w:sz w:val="24"/>
          <w:szCs w:val="24"/>
        </w:rPr>
      </w:pPr>
      <w:r>
        <w:rPr>
          <w:rFonts w:cs="Calibri" w:cstheme="minorHAnsi" w:ascii="Garamond" w:hAnsi="Garamond"/>
          <w:b/>
          <w:color w:themeColor="background1" w:val="FFFFFF"/>
          <w:sz w:val="24"/>
          <w:szCs w:val="24"/>
        </w:rPr>
      </w:r>
    </w:p>
    <w:tbl>
      <w:tblPr>
        <w:tblStyle w:val="TableGrid"/>
        <w:tblW w:w="10918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2"/>
        <w:gridCol w:w="7082"/>
        <w:gridCol w:w="2134"/>
      </w:tblGrid>
      <w:tr>
        <w:trPr>
          <w:trHeight w:val="340" w:hRule="atLeast"/>
        </w:trPr>
        <w:tc>
          <w:tcPr>
            <w:tcW w:w="1702" w:type="dxa"/>
            <w:tcBorders/>
            <w:shd w:color="auto" w:fill="DAD5D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b/>
                <w:bCs/>
                <w:kern w:val="0"/>
                <w:sz w:val="22"/>
                <w:szCs w:val="22"/>
                <w:lang w:val="en-GB" w:eastAsia="en-US" w:bidi="ar-SA"/>
              </w:rPr>
              <w:t>Term</w:t>
            </w:r>
          </w:p>
        </w:tc>
        <w:tc>
          <w:tcPr>
            <w:tcW w:w="7082" w:type="dxa"/>
            <w:tcBorders/>
            <w:shd w:color="auto" w:fill="DAD5D0" w:val="clear"/>
          </w:tcPr>
          <w:p>
            <w:pPr>
              <w:pStyle w:val="Title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/>
                <w:kern w:val="0"/>
                <w:lang w:val="en-GB" w:eastAsia="en-US" w:bidi="ar-SA"/>
              </w:rPr>
            </w:pPr>
            <w:r>
              <w:rPr>
                <w:rFonts w:eastAsia="Calibri" w:ascii="Liberation Serif" w:hAnsi="Liberation Serif"/>
                <w:kern w:val="0"/>
                <w:sz w:val="24"/>
                <w:szCs w:val="24"/>
                <w:lang w:val="en-GB" w:eastAsia="en-US" w:bidi="ar-SA"/>
              </w:rPr>
              <w:t>Description</w:t>
            </w:r>
          </w:p>
        </w:tc>
        <w:tc>
          <w:tcPr>
            <w:tcW w:w="2134" w:type="dxa"/>
            <w:tcBorders/>
            <w:shd w:color="auto" w:fill="DAD5D0" w:val="clear"/>
          </w:tcPr>
          <w:p>
            <w:pPr>
              <w:pStyle w:val="Title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/>
                <w:kern w:val="0"/>
                <w:lang w:val="en-GB" w:eastAsia="en-US" w:bidi="ar-SA"/>
              </w:rPr>
            </w:pPr>
            <w:r>
              <w:rPr>
                <w:rFonts w:eastAsia="Calibri" w:ascii="Liberation Serif" w:hAnsi="Liberation Serif"/>
                <w:kern w:val="0"/>
                <w:lang w:val="en-GB" w:eastAsia="en-US" w:bidi="ar-SA"/>
              </w:rPr>
              <w:t>See also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AAA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Authentication, Authorization and Auditing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ABAC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i w:val="false"/>
                <w:iCs w:val="false"/>
                <w:kern w:val="0"/>
                <w:sz w:val="22"/>
                <w:szCs w:val="22"/>
                <w:lang w:val="en-GB" w:eastAsia="en-US" w:bidi="ar-SA"/>
              </w:rPr>
              <w:t>Attribute Policy-Based Access Control, for more complex access control than RBAC.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RBAC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ACID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Transaction Properties: Atomicity, Consistency, Isolation, and Durability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SQL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ACME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Automated Certificate Management Environment: Protocol to securely automate the issuance, renewal and management of certificates between a CA and the server.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CA, TLS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API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Application Programming Interface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ReST, GraphQL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Architecture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high-level abstraction of the system, that defines structure, functions, components and interactions, i.e. how it is put together.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AVRO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Binary-encoded JSON-based data format, used for serialising record data for streaming. Also used in Big Data, although uses a row-based storage approach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Parquet, CSV, Protobuf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BASE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Basic Availability, Soft State, Eventual Consistency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CAP, ACID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BI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Business Intelligence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Calibri" w:cstheme="minorHAnsi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Calibri" w:cstheme="minorHAnsi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Big Data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Too large or complex data to be dealt with using conventional means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Calibri" w:cstheme="minorHAnsi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Calibri" w:cstheme="minorHAnsi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Blueprint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plan/specification for building the system, i.e. manufacturing/fabricating instructions, e.g. functional and non-functional specifications based on the requirements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Design, Architecture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BPM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Business Process Management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CA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Certificate Authority, an issuer and signatory of digital SSL/TLS certificates. Multiple CAs can operate in a chain of trust.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TLS, CSR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CAP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design trade-off in distributed system design between Consistency, Availability and Partition tolerance.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BASE, ACID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CBOR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Concise Binary Object Representation, based on JSON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JSON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CCPA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California Consumer Privacy Act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GDPR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CDC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Change Data Capture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CDM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Common Data Model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CDN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Content Delivery Network, cashes static content in geographically dispersed locations for quick access by clients, to improve perceived system performance.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CI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Configurable Items, as found in a CMDB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CMDB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CICD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Continuous Integration and Continuous Deployment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GIT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CMDB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Configuration Management Database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CI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CORS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Cross-Origin Resource Sharing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COTS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themeColor="text1" w:val="000000"/>
                <w:kern w:val="0"/>
                <w:sz w:val="22"/>
                <w:szCs w:val="22"/>
                <w:lang w:val="en-GB" w:eastAsia="en-US" w:bidi="ar-SA"/>
              </w:rPr>
              <w:t>Commercial Off the Shelf, i.e. commonly obtainable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CRA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Cyber Resilience Act – applies products with digital elements in the EU market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CRUD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4 standard data operations: Create, Read, Insert and Delete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SQL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CSR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Certificate Signing Request,used to get a TLS certificate from a Certificate Authority (CA) using PKI to authenticate the request.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CA, TLS, PKI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CSS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Cascading Style Sheet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CSV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Comma-delimited String Value row-oriented data file format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Parquet, Iceberg, Protobuf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DAD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Architecture Document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HLD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Fabric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methodology and architectural approach to break down siloed data by typically virtualizing all data and so make it accessible to the right consumers, and to manage its life cycle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Lake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An unstructured store of the enterprise's raw and unprocessed data.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Warehouse, Date Lakehouse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Lakehouse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store of structured, semi-structured and unstructured enterprise data with easy access to all data, transactioning and indexing.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Lake, Data Warehouse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Data Lineage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Tracking of the lifecycle of data: creation, transformations, copies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Mart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partition of the enterprise's data warehouse that specializes in a particular aspect of the business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Warehouse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Mesh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methodology to fluidize data access. Not ready for use yet.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Fabric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Pipeline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themeColor="text1" w:val="000000"/>
                <w:kern w:val="0"/>
                <w:sz w:val="22"/>
                <w:szCs w:val="22"/>
                <w:lang w:val="en-GB" w:eastAsia="en-US" w:bidi="ar-SA"/>
              </w:rPr>
              <w:t>The route that data follows from create, collect, ingest, store, transform, compute and consumption, in either a streamed or a batched mode. This does not include discrete approaches like event-based integrations (ReST API etc...).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ETL, ELT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Warehouse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structured store of the enterprise's data. Structured data can be in a table schema of facts (aggregates) and dimensions (details) for convenient analytics, or in a normalized schema for operational systems.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Mart, Data Lake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Delta Lake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An additional layer to make Data Lakes ACID compliant, and offers schema enforcement and time travel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ACID, Data Lake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Digital Certificate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Provides proof of authenticity of a server or domain, and is signed by a CA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CSR, SHA-3, CA, TLS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DORA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Digital Operational Resilience Act from the EU to drive digital operational resilience in financial organizations.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GRPD, DSAR, CCPA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DR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Disaster recovery – a process plan and infrastructure to restore a disrupted system to an operational level.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DSAR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Subject Access Request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GRPD, CCPA, DORA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ECDSA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BodyText"/>
              <w:spacing w:before="0" w:after="10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Elliptic Curve Digital Signature Algorithm. More efficient  than RSA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RSA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ECDHE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BodyText"/>
              <w:spacing w:before="0" w:after="10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Elliptic Curve Diffie Hellman Ephemeral public/private key, used TLS1.3 for generating a shared secret on initial handshake, from which a mutual symmetric session can be derived.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TLS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ESB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Enterprise Service Bus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ETL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Extract Transform Load data process on a batched basis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ELT, Data Pipeline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ELT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process to Extract Load streamed data and then Transform it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ETL, Data Pipeline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Framework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foundational set of tools, libraries and best practices, i.e. how to build it, as can be shown with e.g. a functional decomposition.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GAB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Group Architecture Board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Architecture, HLD, DAD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GDPR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General Data Protection Regulation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DSAR, CCPA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GIT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de facto code control and versioning system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CICD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GraphQL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Hierarchical Graph Query Language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ReST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gRPC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Cross-platform, high-performance network protocol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HIPAA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compliance regulation in healthcare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PCI/DSS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HLD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High-Level Design document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DAD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HMAC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Hash-based Message Authentication Code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HTML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Hypertext Mark-up Language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CSS, SSL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ICEBERG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High-performance data file format for analytics and data lakes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CSV, Parquet, AVRO, ORC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Infrastructure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Physical components and resources that constitute the system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IoT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Internet of Things, a technical architecture for sensors, devices and monitors.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MQTT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IT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Information Technology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Calibri" w:ascii="Liberation Serif" w:hAnsi="Liberation Serif" w:cstheme="minorHAnsi"/>
                <w:b w:val="false"/>
                <w:bCs w:val="false"/>
                <w:kern w:val="0"/>
                <w:sz w:val="22"/>
                <w:szCs w:val="22"/>
                <w:lang w:val="en-GB" w:eastAsia="en-US" w:bidi="ar-SA"/>
              </w:rPr>
              <w:t>JBOD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Just A Bunch of Disks - a storage configuration where multiple hard drives are treated as individual units. JBOD is simple and cost-effective for non-critical storage needs.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RAID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JSON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JavaScript Object Notation for schema-less data interchange. A common way to package data payloads.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 xml:space="preserve">YAML, </w:t>
            </w: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TOON,</w:t>
            </w: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 xml:space="preserve"> XML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JWT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JSON Web Token, used to verify a user in repeated operations without having to authenticate the user every time. The token may optionally be signed and or encrypted.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JSON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Kafka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A streaming real-time database, often used in messaging implementations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Message Queue, MQTT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Local Affinity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A preference for consuming resources closer by, determined by a set of rules, to reduce data traffic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Least privilege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security principle that limits user access to the minimum resources and permissions needed to perform their tasks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LLM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Large Language Model (AI)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RAG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MDM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Master Data Management, which creates a single source of truth for business-critical data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Message Queue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Inter-component asynchronous communication method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Kafka, MQTT, IoT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Methodology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set of methods and principles for building a system, i.e. how to use the tools to build the system, such as Agile and DevOps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Model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particular implementation of an architecture, describes the working parts of the system, i.e. how it works, as can be illustrated with e.g. a data model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MPP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Massively Parallel Processes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MQTT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Message Queuing Telemetry Transport, a light-weight messaging protocol based around a message broker and multiple clients that subscribe to messages about desired topic/sub-topics/sub-sub-topics/… etc. Version 5 improves support of unreliable networks, load balancing, content MIME types, bandwidth throttling, TLS &amp; ACLs.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Kafka, IoT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MVP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Minimum Viable Product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NLP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Natural Language Processing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RAG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NoSQL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schema-less database paradigm that holds semi-structured data such as emails, JSON, XML &amp; HTML and other document files, which is harder to retrieve and manipulate. NoSQL databases scale horizontally.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SQL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Observability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ability to measure the current holistic state of a system by examining the data collected across multiple layers of the system's architecture.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OWASP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 xml:space="preserve">Open Web Application Security Project - 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ORC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An Optimized Row Columnar data file format, used in Big Data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CSV, Iceberg, Parquet, AVRO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Parquet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columnar data file format, used in Big Data, especially nested data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CSV, Iceberg, ORC, AVRO, Protobuf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PCI/DSS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compliance regulation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HIPAA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PII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Personally Identifiable Information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GDPR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Pipeline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Data: The route from creation, ingestion, transformation and loading through to consumption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PKI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Public Key Infrastructure, based on a private key that matches a public key that can be publicly shared for authentication, validation, and non-repudiation.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SHA-3, CSR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Protobuf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Very efficient binary serialization of structured data.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AVRO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RAG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Retrieval-Augmented Generation, an architectural approach for improving accuracy of an LLM in AI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LLM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RAID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Redundant Array of Independent Disks - combines multiple drives into a single unit for improved performance, data redundancy and data protection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JBOD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RBAC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Role-Based Access Control – assigns permissions to user. See ABAC for complex policy-based access control.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ABAC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RCS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Rich Communication Service, successor to SMS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SMS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RDP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Remote Desktop Protocol, for accessing and viewing Windows desktops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RDBMS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Relational Database Management System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ReST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Representational State Transfer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API, GraphQL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RCO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Recovery Point Objective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RTO</w:t>
            </w:r>
          </w:p>
        </w:tc>
      </w:tr>
      <w:tr>
        <w:trPr>
          <w:trHeight w:val="30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themeColor="text1" w:val="000000"/>
                <w:kern w:val="0"/>
                <w:sz w:val="22"/>
                <w:szCs w:val="22"/>
                <w:lang w:val="en-GB" w:eastAsia="en-US" w:bidi="ar-SA"/>
              </w:rPr>
              <w:t>ROPA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themeColor="text1" w:val="000000"/>
                <w:kern w:val="0"/>
                <w:sz w:val="22"/>
                <w:szCs w:val="22"/>
                <w:lang w:val="en-GB" w:eastAsia="en-US" w:bidi="ar-SA"/>
              </w:rPr>
              <w:t>Record of Processing Activities: Record of What, Why and How data is processed, and Who owns the data.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RSA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A public-key cryptosystem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10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ECDSA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RTO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Recovery Time Objective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RCO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SAN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Storage Area Network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SASE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Secure Access Service Edge, a network architecture that combines VPN and WAN capabilities with cloud-based security.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Zero Trust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Scalability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ability of a system to handle an increased workload without losing performance or compromising availability.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Schema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blueprint that defines the logical structure and organization of the data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Schema-on-Read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data schema is created and imposed as data is read from a data lake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Data Lake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Schema-on-Write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structured data schema is created </w:t>
            </w:r>
            <w:r>
              <w:rPr>
                <w:rStyle w:val="Emphasis"/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before</w:t>
            </w: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 data is ingested into a data store, such as into an RDBMS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RDBMS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SIEM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Security Information and Event Management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SHA-3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A family of Secure Hash Algorithms, 256/512 bits long, a way to uniquely digest/fingerprint a chunk of data. It is impossible to infer the data from such a hashed fingerprint. Replaces SHA-1 and SHA-2 digests.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CSR, PKI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SMS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Short Message Service, a.k.a. mobile phone “Text” message service.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RCS</w:t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SQL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Search Query Language, a scripting language used for creating statements that create, read, insert and delete data from structured data databases.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NoSQL, CRUD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SSL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Secure Sockets Layer</w:t>
            </w:r>
            <w:r>
              <w:rPr>
                <w:rFonts w:eastAsia="Calibri" w:cs="Arial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, latest version 3.0. Supplanted by TLS 1.3.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HTML</w:t>
            </w:r>
            <w:r>
              <w:rPr>
                <w:rFonts w:eastAsia="Calibri" w:cs="Arial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, TLS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System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All the related parts and rules that form a unified solution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TLS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TLS1.3 is the current version, which supplants SSL 3.0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SSL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TOGAF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The Open Group Architecture Framework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TOON</w:t>
            </w:r>
          </w:p>
        </w:tc>
        <w:tc>
          <w:tcPr>
            <w:tcW w:w="7082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 xml:space="preserve">Token-Oriented Object Notation: Efficient datagram notation without punctuation, braces and tokens, unlike JSON &amp; XML. Data </w:t>
            </w: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structure is modelled using indentation.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 LLM-friendly.</w:t>
            </w:r>
          </w:p>
        </w:tc>
        <w:tc>
          <w:tcPr>
            <w:tcW w:w="2134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JSON, XML, YAML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UML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Unified Modelling Language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Segoe UI"/>
                <w:color w:val="000000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Unstructured Data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Schema-less, format-less data that cannot easily be queried, manipulated or analysed and is stored in its native format, e.g. documents, audio, video, social media posts. Requires specialist tools.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Vector Search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NLP technique to find nearest matching strings, images, audio, video, and other unstructured data sets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NLP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YAML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human-readable (as opposed to JSON) data serialization language</w:t>
            </w: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 xml:space="preserve">, </w:t>
            </w: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 xml:space="preserve"> data structure is modelled using indentation.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JSON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Zero Trust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A Security framework that assumes that every interface can be a hostile threat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Segoe UI" w:ascii="Liberation Serif" w:hAnsi="Liberation Serif"/>
                <w:color w:val="000000"/>
                <w:kern w:val="0"/>
                <w:sz w:val="22"/>
                <w:szCs w:val="22"/>
                <w:lang w:val="en-GB" w:eastAsia="en-US" w:bidi="ar-SA"/>
              </w:rPr>
              <w:t>SASE</w:t>
            </w:r>
          </w:p>
        </w:tc>
      </w:tr>
      <w:tr>
        <w:trPr>
          <w:trHeight w:val="340" w:hRule="atLeast"/>
        </w:trPr>
        <w:tc>
          <w:tcPr>
            <w:tcW w:w="17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Calibri" w:ascii="Liberation Serif" w:hAnsi="Liberation Serif" w:cstheme="minorHAnsi"/>
                <w:kern w:val="0"/>
                <w:sz w:val="22"/>
                <w:szCs w:val="22"/>
                <w:lang w:val="en-GB" w:eastAsia="en-US" w:bidi="ar-SA"/>
              </w:rPr>
              <w:t>XML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  <w:t>Extensible Mark-up Language, a data serialization language</w:t>
            </w:r>
          </w:p>
        </w:tc>
        <w:tc>
          <w:tcPr>
            <w:tcW w:w="21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Liberation Serif" w:hAnsi="Liberation Serif" w:eastAsia="Calibri" w:cs="Arial"/>
                <w:kern w:val="0"/>
                <w:sz w:val="22"/>
                <w:szCs w:val="22"/>
                <w:lang w:val="en-GB" w:eastAsia="en-US" w:bidi="ar-SA"/>
              </w:rPr>
            </w:pPr>
            <w:r>
              <w:rPr>
                <w:rFonts w:eastAsia="Calibri" w:cs="Arial" w:ascii="Liberation Serif" w:hAnsi="Liberation Serif"/>
                <w:kern w:val="0"/>
                <w:sz w:val="22"/>
                <w:szCs w:val="22"/>
                <w:lang w:val="en-GB" w:eastAsia="en-US" w:bidi="ar-SA"/>
              </w:rPr>
            </w:r>
          </w:p>
        </w:tc>
      </w:tr>
    </w:tbl>
    <w:p>
      <w:pPr>
        <w:pStyle w:val="Normal"/>
        <w:spacing w:before="0" w:after="100"/>
        <w:rPr>
          <w:rFonts w:ascii="Garamond" w:hAnsi="Garamond" w:cs="Calibri" w:cstheme="minorHAnsi"/>
          <w:sz w:val="24"/>
          <w:szCs w:val="24"/>
        </w:rPr>
      </w:pPr>
      <w:r>
        <w:rPr>
          <w:rFonts w:cs="Calibri" w:cstheme="minorHAnsi" w:ascii="Garamond" w:hAnsi="Garamond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426" w:top="720" w:footer="708" w:bottom="765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aramond">
    <w:charset w:val="01"/>
    <w:family w:val="swiss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Garamond">
    <w:charset w:val="01"/>
    <w:family w:val="roman"/>
    <w:pitch w:val="variable"/>
  </w:font>
  <w:font w:name="Verdana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472C4"/>
      </w:rPr>
    </w:pPr>
    <w:r>
      <w:rPr>
        <w:caps/>
        <w:color w:themeColor="accent1" w:val="4472C4"/>
      </w:rPr>
      <w:fldChar w:fldCharType="begin"/>
    </w:r>
    <w:r>
      <w:rPr>
        <w:caps/>
        <w:color w:themeColor="accent1" w:val="4472C4"/>
      </w:rPr>
      <w:instrText xml:space="preserve"> PAGE </w:instrText>
    </w:r>
    <w:r>
      <w:rPr>
        <w:caps/>
        <w:color w:themeColor="accent1" w:val="4472C4"/>
      </w:rPr>
      <w:fldChar w:fldCharType="separate"/>
    </w:r>
    <w:r>
      <w:rPr>
        <w:caps/>
        <w:color w:themeColor="accent1" w:val="4472C4"/>
      </w:rPr>
      <w:t>4</w:t>
    </w:r>
    <w:r>
      <w:rPr>
        <w:caps/>
        <w:color w:themeColor="accent1" w:val="4472C4"/>
      </w:rPr>
      <w:fldChar w:fldCharType="end"/>
    </w:r>
  </w:p>
  <w:p>
    <w:pPr>
      <w:pStyle w:val="Normal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472C4"/>
      </w:rPr>
    </w:pPr>
    <w:r>
      <w:rPr>
        <w:caps/>
        <w:color w:themeColor="accent1" w:val="4472C4"/>
      </w:rPr>
      <w:fldChar w:fldCharType="begin"/>
    </w:r>
    <w:r>
      <w:rPr>
        <w:caps/>
        <w:color w:themeColor="accent1" w:val="4472C4"/>
      </w:rPr>
      <w:instrText xml:space="preserve"> PAGE </w:instrText>
    </w:r>
    <w:r>
      <w:rPr>
        <w:caps/>
        <w:color w:themeColor="accent1" w:val="4472C4"/>
      </w:rPr>
      <w:fldChar w:fldCharType="separate"/>
    </w:r>
    <w:r>
      <w:rPr>
        <w:caps/>
        <w:color w:themeColor="accent1" w:val="4472C4"/>
      </w:rPr>
      <w:t>3</w:t>
    </w:r>
    <w:r>
      <w:rPr>
        <w:caps/>
        <w:color w:themeColor="accent1" w:val="4472C4"/>
      </w:rPr>
      <w:fldChar w:fldCharType="end"/>
    </w:r>
  </w:p>
  <w:p>
    <w:pPr>
      <w:pStyle w:val="Footer"/>
      <w:spacing w:before="0" w:after="100"/>
      <w:rPr>
        <w:sz w:val="16"/>
        <w:szCs w:val="16"/>
      </w:rPr>
    </w:pPr>
    <w:r>
      <w:rPr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caps/>
        <w:color w:themeColor="accent1" w:val="4472C4"/>
      </w:rPr>
    </w:pPr>
    <w:r>
      <w:rPr>
        <w:caps/>
        <w:color w:themeColor="accent1" w:val="4472C4"/>
      </w:rPr>
      <w:fldChar w:fldCharType="begin"/>
    </w:r>
    <w:r>
      <w:rPr>
        <w:caps/>
        <w:color w:themeColor="accent1" w:val="4472C4"/>
      </w:rPr>
      <w:instrText xml:space="preserve"> PAGE </w:instrText>
    </w:r>
    <w:r>
      <w:rPr>
        <w:caps/>
        <w:color w:themeColor="accent1" w:val="4472C4"/>
      </w:rPr>
      <w:fldChar w:fldCharType="separate"/>
    </w:r>
    <w:r>
      <w:rPr>
        <w:caps/>
        <w:color w:themeColor="accent1" w:val="4472C4"/>
      </w:rPr>
      <w:t>1</w:t>
    </w:r>
    <w:r>
      <w:rPr>
        <w:caps/>
        <w:color w:themeColor="accent1" w:val="4472C4"/>
      </w:rPr>
      <w:fldChar w:fldCharType="end"/>
    </w:r>
  </w:p>
  <w:p>
    <w:pPr>
      <w:pStyle w:val="Footer"/>
      <w:spacing w:before="0" w:after="1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widowControl/>
      <w:bidi w:val="0"/>
      <w:spacing w:before="0" w:after="100"/>
      <w:jc w:val="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  <w:p>
    <w:pPr>
      <w:pStyle w:val="Header"/>
      <w:spacing w:before="0" w:after="100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284" w:hanging="0"/>
      </w:pPr>
      <w:rPr>
        <w:color w:val="auto"/>
      </w:rPr>
    </w:lvl>
    <w:lvl w:ilvl="1">
      <w:start w:val="1"/>
      <w:numFmt w:val="upperLetter"/>
      <w:lvlText w:val="%2."/>
      <w:lvlJc w:val="left"/>
      <w:pPr>
        <w:tabs>
          <w:tab w:val="num" w:pos="0"/>
        </w:tabs>
        <w:ind w:left="720" w:hanging="0"/>
      </w:pPr>
      <w:rPr/>
    </w:lvl>
    <w:lvl w:ilvl="2">
      <w:start w:val="1"/>
      <w:pStyle w:val="Heading3"/>
      <w:numFmt w:val="decimal"/>
      <w:lvlText w:val="%3."/>
      <w:lvlJc w:val="left"/>
      <w:pPr>
        <w:tabs>
          <w:tab w:val="num" w:pos="0"/>
        </w:tabs>
        <w:ind w:left="1440" w:hanging="0"/>
      </w:pPr>
      <w:rPr/>
    </w:lvl>
    <w:lvl w:ilvl="3">
      <w:start w:val="1"/>
      <w:pStyle w:val="Heading4"/>
      <w:numFmt w:val="lowerLetter"/>
      <w:lvlText w:val="%4)"/>
      <w:lvlJc w:val="left"/>
      <w:pPr>
        <w:tabs>
          <w:tab w:val="num" w:pos="0"/>
        </w:tabs>
        <w:ind w:left="2160" w:hanging="0"/>
      </w:pPr>
      <w:rPr/>
    </w:lvl>
    <w:lvl w:ilvl="4">
      <w:start w:val="1"/>
      <w:pStyle w:val="Heading5"/>
      <w:numFmt w:val="decimal"/>
      <w:lvlText w:val="(%5)"/>
      <w:lvlJc w:val="left"/>
      <w:pPr>
        <w:tabs>
          <w:tab w:val="num" w:pos="0"/>
        </w:tabs>
        <w:ind w:left="2880" w:hanging="0"/>
      </w:pPr>
      <w:rPr/>
    </w:lvl>
    <w:lvl w:ilvl="5">
      <w:start w:val="1"/>
      <w:pStyle w:val="Heading6"/>
      <w:numFmt w:val="lowerLetter"/>
      <w:lvlText w:val="(%6)"/>
      <w:lvlJc w:val="left"/>
      <w:pPr>
        <w:tabs>
          <w:tab w:val="num" w:pos="0"/>
        </w:tabs>
        <w:ind w:left="3600" w:hanging="0"/>
      </w:pPr>
      <w:rPr/>
    </w:lvl>
    <w:lvl w:ilvl="6">
      <w:start w:val="1"/>
      <w:pStyle w:val="Heading7"/>
      <w:numFmt w:val="lowerRoman"/>
      <w:lvlText w:val="(%7)"/>
      <w:lvlJc w:val="left"/>
      <w:pPr>
        <w:tabs>
          <w:tab w:val="num" w:pos="0"/>
        </w:tabs>
        <w:ind w:left="4320" w:hanging="0"/>
      </w:pPr>
      <w:rPr/>
    </w:lvl>
    <w:lvl w:ilvl="7">
      <w:start w:val="1"/>
      <w:pStyle w:val="Heading8"/>
      <w:numFmt w:val="lowerLetter"/>
      <w:lvlText w:val="(%8)"/>
      <w:lvlJc w:val="left"/>
      <w:pPr>
        <w:tabs>
          <w:tab w:val="num" w:pos="0"/>
        </w:tabs>
        <w:ind w:left="5040" w:hanging="0"/>
      </w:pPr>
      <w:rPr/>
    </w:lvl>
    <w:lvl w:ilvl="8">
      <w:start w:val="1"/>
      <w:pStyle w:val="Heading9"/>
      <w:numFmt w:val="lowerRoman"/>
      <w:lvlText w:val="(%9)"/>
      <w:lvlJc w:val="left"/>
      <w:pPr>
        <w:tabs>
          <w:tab w:val="num" w:pos="0"/>
        </w:tabs>
        <w:ind w:left="5760" w:hanging="0"/>
      </w:pPr>
      <w:rPr/>
    </w:lvl>
  </w:abstractNum>
  <w:abstractNum w:abstractNumId="2">
    <w:lvl w:ilvl="0">
      <w:start w:val="1"/>
      <w:numFmt w:val="upperLetter"/>
      <w:suff w:val="space"/>
      <w:lvlText w:val="%1."/>
      <w:lvlJc w:val="left"/>
      <w:pPr>
        <w:tabs>
          <w:tab w:val="num" w:pos="0"/>
        </w:tabs>
        <w:ind w:left="357" w:hanging="357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357" w:hanging="357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357" w:hanging="357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357" w:hanging="357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357" w:hanging="357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357" w:hanging="357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57" w:hanging="357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57" w:hanging="357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57" w:hanging="357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534a"/>
    <w:pPr>
      <w:widowControl/>
      <w:suppressAutoHyphens w:val="true"/>
      <w:bidi w:val="0"/>
      <w:spacing w:before="0" w:after="1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6a3e6f"/>
    <w:pPr>
      <w:numPr>
        <w:ilvl w:val="0"/>
        <w:numId w:val="2"/>
      </w:numPr>
      <w:pBdr>
        <w:top w:val="single" w:sz="4" w:space="2" w:color="000000" w:themeColor="dark1"/>
        <w:left w:val="single" w:sz="4" w:space="4" w:color="000000" w:themeColor="dark1"/>
        <w:bottom w:val="single" w:sz="4" w:space="1" w:color="000000" w:themeColor="dark1"/>
        <w:right w:val="single" w:sz="4" w:space="4" w:color="000000" w:themeColor="dark1"/>
      </w:pBdr>
      <w:shd w:val="clear" w:color="auto" w:fill="8B6F4B"/>
      <w:spacing w:before="240" w:after="0"/>
      <w:contextualSpacing w:val="false"/>
      <w:outlineLvl w:val="0"/>
    </w:pPr>
    <w:rPr>
      <w:rFonts w:ascii="Garamond" w:hAnsi="Garamond" w:cs="Calibri" w:cstheme="minorHAnsi"/>
      <w:b/>
      <w:color w:themeColor="background1" w:val="FFFFFF"/>
      <w:sz w:val="24"/>
      <w:szCs w:val="24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4d0316"/>
    <w:pPr>
      <w:pBdr>
        <w:top w:val="single" w:sz="4" w:space="1" w:color="000000" w:themeColor="dark1"/>
        <w:left w:val="single" w:sz="4" w:space="4" w:color="000000" w:themeColor="dark1"/>
        <w:bottom w:val="single" w:sz="4" w:space="2" w:color="000000" w:themeColor="dark1"/>
        <w:right w:val="single" w:sz="4" w:space="4" w:color="000000" w:themeColor="dark1"/>
      </w:pBdr>
      <w:shd w:val="clear" w:color="auto" w:fill="DAD5D0"/>
      <w:outlineLvl w:val="1"/>
    </w:pPr>
    <w:rPr>
      <w:color w:themeColor="text1"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1364"/>
    <w:pPr>
      <w:keepNext w:val="true"/>
      <w:keepLines/>
      <w:numPr>
        <w:ilvl w:val="2"/>
        <w:numId w:val="1"/>
      </w:numPr>
      <w:spacing w:before="40" w:after="10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1364"/>
    <w:pPr>
      <w:keepNext w:val="true"/>
      <w:keepLines/>
      <w:numPr>
        <w:ilvl w:val="3"/>
        <w:numId w:val="1"/>
      </w:numPr>
      <w:spacing w:before="40" w:after="100"/>
      <w:outlineLvl w:val="3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1364"/>
    <w:pPr>
      <w:keepNext w:val="true"/>
      <w:keepLines/>
      <w:numPr>
        <w:ilvl w:val="4"/>
        <w:numId w:val="1"/>
      </w:numPr>
      <w:spacing w:before="40" w:after="100"/>
      <w:outlineLvl w:val="4"/>
    </w:pPr>
    <w:rPr>
      <w:rFonts w:ascii="Calibri Light" w:hAnsi="Calibri Light" w:eastAsia="" w:cs="" w:asciiTheme="majorHAnsi" w:cstheme="majorBidi" w:eastAsiaTheme="majorEastAsia" w:hAnsiTheme="majorHAnsi"/>
      <w:caps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61364"/>
    <w:pPr>
      <w:keepNext w:val="true"/>
      <w:keepLines/>
      <w:numPr>
        <w:ilvl w:val="5"/>
        <w:numId w:val="1"/>
      </w:numPr>
      <w:spacing w:before="40" w:after="10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aps/>
      <w:color w:themeColor="accent1" w:themeShade="80" w:val="1F386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61364"/>
    <w:pPr>
      <w:keepNext w:val="true"/>
      <w:keepLines/>
      <w:numPr>
        <w:ilvl w:val="6"/>
        <w:numId w:val="1"/>
      </w:numPr>
      <w:spacing w:before="40" w:after="100"/>
      <w:outlineLvl w:val="6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80" w:val="1F386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61364"/>
    <w:pPr>
      <w:keepNext w:val="true"/>
      <w:keepLines/>
      <w:numPr>
        <w:ilvl w:val="7"/>
        <w:numId w:val="1"/>
      </w:numPr>
      <w:spacing w:before="40" w:after="100"/>
      <w:outlineLvl w:val="7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themeShade="80" w:val="1F386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364"/>
    <w:pPr>
      <w:keepNext w:val="true"/>
      <w:keepLines/>
      <w:numPr>
        <w:ilvl w:val="8"/>
        <w:numId w:val="1"/>
      </w:numPr>
      <w:spacing w:before="40" w:after="10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80" w:val="1F386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1078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1078f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1078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7185f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a3e6f"/>
    <w:rPr>
      <w:rFonts w:ascii="Garamond" w:hAnsi="Garamond" w:cs="Calibri" w:cstheme="minorHAnsi"/>
      <w:b/>
      <w:color w:themeColor="background1" w:val="FFFFFF"/>
      <w:sz w:val="24"/>
      <w:szCs w:val="24"/>
      <w:shd w:fill="8B6F4B" w:val="clea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d0316"/>
    <w:rPr>
      <w:rFonts w:ascii="Garamond" w:hAnsi="Garamond" w:cs="Calibri" w:cstheme="minorHAnsi"/>
      <w:b/>
      <w:color w:themeColor="text1" w:val="000000"/>
      <w:sz w:val="24"/>
      <w:szCs w:val="24"/>
      <w:shd w:fill="DAD5D0" w:val="clear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16136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16136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161364"/>
    <w:rPr>
      <w:rFonts w:ascii="Calibri Light" w:hAnsi="Calibri Light" w:eastAsia="" w:cs="" w:asciiTheme="majorHAnsi" w:cstheme="majorBidi" w:eastAsiaTheme="majorEastAsia" w:hAnsiTheme="majorHAnsi"/>
      <w:caps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161364"/>
    <w:rPr>
      <w:rFonts w:ascii="Calibri Light" w:hAnsi="Calibri Light" w:eastAsia="" w:cs="" w:asciiTheme="majorHAnsi" w:cstheme="majorBidi" w:eastAsiaTheme="majorEastAsia" w:hAnsiTheme="majorHAnsi"/>
      <w:i/>
      <w:iCs/>
      <w:caps/>
      <w:color w:themeColor="accent1" w:themeShade="80" w:val="1F3864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161364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80" w:val="1F3864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161364"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themeShade="80" w:val="1F3864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6136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80" w:val="1F386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161364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161364"/>
    <w:rPr>
      <w:rFonts w:eastAsia="" w:eastAsiaTheme="minorEastAsia"/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946e7c"/>
    <w:rPr>
      <w:rFonts w:eastAsia="" w:eastAsiaTheme="minorEastAsia"/>
      <w:b/>
      <w:bCs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c1004e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c1004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e9233f"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e9233f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oSpacingChar" w:customStyle="1">
    <w:name w:val="No Spacing Char"/>
    <w:link w:val="NoSpacing"/>
    <w:uiPriority w:val="1"/>
    <w:qFormat/>
    <w:locked/>
    <w:rsid w:val="00531a76"/>
    <w:rPr>
      <w:rFonts w:ascii="Garamond" w:hAnsi="Garamond" w:eastAsia="Calibri" w:cs="Calibri" w:cstheme="minorHAnsi"/>
      <w:bCs/>
      <w:color w:themeColor="text1" w:val="000000"/>
      <w:sz w:val="24"/>
      <w:szCs w:val="28"/>
    </w:rPr>
  </w:style>
  <w:style w:type="character" w:styleId="BodyTextChar" w:customStyle="1">
    <w:name w:val="Body Text Char"/>
    <w:basedOn w:val="DefaultParagraphFont"/>
    <w:uiPriority w:val="1"/>
    <w:qFormat/>
    <w:rsid w:val="0078295b"/>
    <w:rPr>
      <w:rFonts w:ascii="Verdana" w:hAnsi="Verdana" w:eastAsia="Verdana" w:cs="Verdana"/>
      <w:sz w:val="20"/>
      <w:szCs w:val="20"/>
      <w:lang w:eastAsia="en-GB" w:bidi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df1d34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4242b"/>
    <w:rPr>
      <w:color w:val="605E5C"/>
      <w:shd w:fill="E1DFDD" w:val="clear"/>
    </w:rPr>
  </w:style>
  <w:style w:type="character" w:styleId="Mention">
    <w:name w:val="Mention"/>
    <w:basedOn w:val="DefaultParagraphFont"/>
    <w:uiPriority w:val="99"/>
    <w:unhideWhenUsed/>
    <w:qFormat/>
    <w:rsid w:val="00ee4f04"/>
    <w:rPr>
      <w:color w:val="2B579A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0430bf"/>
    <w:rPr>
      <w:color w:val="808080"/>
    </w:rPr>
  </w:style>
  <w:style w:type="character" w:styleId="TitleChar" w:customStyle="1">
    <w:name w:val="Title Char"/>
    <w:basedOn w:val="DefaultParagraphFont"/>
    <w:link w:val="Title"/>
    <w:uiPriority w:val="10"/>
    <w:qFormat/>
    <w:rsid w:val="00a343ea"/>
    <w:rPr>
      <w:rFonts w:ascii="Garamond" w:hAnsi="Garamond" w:cs="Calibri" w:cstheme="minorHAnsi"/>
      <w:b/>
      <w:bCs/>
      <w:sz w:val="28"/>
      <w:szCs w:val="28"/>
    </w:rPr>
  </w:style>
  <w:style w:type="character" w:styleId="BodyBulletChar" w:customStyle="1">
    <w:name w:val="Body Bullet Char"/>
    <w:basedOn w:val="NoSpacingChar"/>
    <w:link w:val="BodyBullet"/>
    <w:qFormat/>
    <w:rsid w:val="00107ff7"/>
    <w:rPr>
      <w:rFonts w:ascii="Garamond" w:hAnsi="Garamond" w:eastAsia="Calibri" w:cs="Calibri" w:cstheme="minorHAnsi"/>
      <w:bCs/>
      <w:color w:themeColor="text1" w:val="000000"/>
      <w:sz w:val="24"/>
      <w:szCs w:val="28"/>
    </w:rPr>
  </w:style>
  <w:style w:type="character" w:styleId="HeadingChar" w:customStyle="1">
    <w:name w:val="Heading Char"/>
    <w:basedOn w:val="Heading1Char"/>
    <w:link w:val="Heading"/>
    <w:qFormat/>
    <w:rsid w:val="001445d1"/>
    <w:rPr>
      <w:rFonts w:ascii="Garamond" w:hAnsi="Garamond" w:cs="Calibri" w:cstheme="minorHAnsi"/>
      <w:b/>
      <w:color w:themeColor="background1" w:val="FFFFFF"/>
      <w:sz w:val="24"/>
      <w:szCs w:val="24"/>
      <w:shd w:fill="538135" w:val="clear"/>
    </w:rPr>
  </w:style>
  <w:style w:type="character" w:styleId="Emphasis">
    <w:name w:val="Emphasis"/>
    <w:basedOn w:val="DefaultParagraphFont"/>
    <w:uiPriority w:val="20"/>
    <w:qFormat/>
    <w:rsid w:val="000c533e"/>
    <w:rPr>
      <w:i/>
      <w:iCs/>
    </w:rPr>
  </w:style>
  <w:style w:type="character" w:styleId="edgelabel">
    <w:name w:val="edgelabel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nodelabel">
    <w:name w:val="nodelabel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Appendix3Char">
    <w:name w:val="Appendix 3 Char"/>
    <w:qFormat/>
    <w:rPr>
      <w:rFonts w:eastAsia="Times New Roman" w:cs="Calibri"/>
      <w:b/>
      <w:color w:val="000000"/>
      <w:sz w:val="24"/>
      <w:szCs w:val="24"/>
      <w:shd w:fill="D9D9D9" w:val="clear"/>
    </w:rPr>
  </w:style>
  <w:style w:type="character" w:styleId="Appendix2Char">
    <w:name w:val="Appendix 2 Char"/>
    <w:qFormat/>
    <w:rPr>
      <w:rFonts w:eastAsia="Times New Roman" w:cs="Calibri"/>
      <w:b/>
      <w:color w:val="000000"/>
      <w:sz w:val="24"/>
      <w:szCs w:val="24"/>
      <w:shd w:fill="DAD5D0" w:val="clear"/>
    </w:rPr>
  </w:style>
  <w:style w:type="character" w:styleId="CodeChar">
    <w:name w:val="Code Char"/>
    <w:qFormat/>
    <w:rPr>
      <w:rFonts w:ascii="Courier New" w:hAnsi="Courier New" w:eastAsia="Times New Roman" w:cs="Times New Roman"/>
      <w:color w:val="7F7F7F"/>
      <w:sz w:val="20"/>
      <w:szCs w:val="24"/>
    </w:rPr>
  </w:style>
  <w:style w:type="character" w:styleId="Appendix1Char">
    <w:name w:val="Appendix 1 Char"/>
    <w:qFormat/>
    <w:rPr>
      <w:rFonts w:eastAsia="Times New Roman" w:cs="Calibri"/>
      <w:b/>
      <w:color w:val="FFFFFF"/>
      <w:sz w:val="32"/>
      <w:szCs w:val="24"/>
      <w:shd w:fill="538135" w:val="clear"/>
    </w:rPr>
  </w:style>
  <w:style w:type="character" w:styleId="HTMLCode">
    <w:name w:val="HTML Code"/>
    <w:qFormat/>
    <w:rPr>
      <w:rFonts w:ascii="Courier New" w:hAnsi="Courier New" w:eastAsia="Times New Roman" w:cs="Courier New"/>
      <w:color w:val="000000"/>
      <w:sz w:val="20"/>
      <w:szCs w:val="20"/>
    </w:rPr>
  </w:style>
  <w:style w:type="character" w:styleId="HTMLPreformattedChar">
    <w:name w:val="HTML Preformatted Char"/>
    <w:qFormat/>
    <w:rPr>
      <w:rFonts w:ascii="Courier New" w:hAnsi="Courier New" w:eastAsia="Times New Roman" w:cs="Courier New"/>
      <w:color w:val="000000"/>
      <w:sz w:val="20"/>
      <w:szCs w:val="20"/>
      <w:lang w:eastAsia="en-GB"/>
    </w:rPr>
  </w:style>
  <w:style w:type="character" w:styleId="HelpTextChar">
    <w:name w:val="Help Text Char"/>
    <w:qFormat/>
    <w:rPr>
      <w:rFonts w:eastAsia="Times New Roman" w:cs="Times New Roman"/>
      <w:i/>
      <w:color w:val="808080"/>
      <w:sz w:val="24"/>
      <w:szCs w:val="24"/>
    </w:rPr>
  </w:style>
  <w:style w:type="paragraph" w:styleId="Heading" w:customStyle="1">
    <w:name w:val="Heading"/>
    <w:basedOn w:val="Normal"/>
    <w:next w:val="BodyText"/>
    <w:link w:val="HeadingChar"/>
    <w:qFormat/>
    <w:rsid w:val="001445d1"/>
    <w:pPr>
      <w:numPr>
        <w:ilvl w:val="0"/>
        <w:numId w:val="0"/>
      </w:numPr>
      <w:shd w:val="clear" w:color="auto" w:fill="538135" w:themeFill="accent6" w:themeFillShade="bf"/>
    </w:pPr>
    <w:rPr/>
  </w:style>
  <w:style w:type="paragraph" w:styleId="BodyText">
    <w:name w:val="Body Text"/>
    <w:basedOn w:val="Normal"/>
    <w:link w:val="BodyTextChar"/>
    <w:uiPriority w:val="1"/>
    <w:qFormat/>
    <w:rsid w:val="0078295b"/>
    <w:pPr>
      <w:widowControl w:val="false"/>
    </w:pPr>
    <w:rPr>
      <w:rFonts w:ascii="Verdana" w:hAnsi="Verdana" w:eastAsia="Verdana" w:cs="Verdana"/>
      <w:sz w:val="20"/>
      <w:szCs w:val="20"/>
      <w:lang w:eastAsia="en-GB" w:bidi="en-GB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1078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1078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1078f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1078f"/>
    <w:pPr>
      <w:spacing w:before="0" w:after="100"/>
      <w:ind w:left="720"/>
      <w:contextualSpacing/>
    </w:pPr>
    <w:rPr/>
  </w:style>
  <w:style w:type="paragraph" w:styleId="subpara1" w:customStyle="1">
    <w:name w:val="subpara1"/>
    <w:basedOn w:val="Normal"/>
    <w:qFormat/>
    <w:rsid w:val="00c511e3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qFormat/>
    <w:rsid w:val="00c511e3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subpara2" w:customStyle="1">
    <w:name w:val="subpara2"/>
    <w:basedOn w:val="Normal"/>
    <w:qFormat/>
    <w:rsid w:val="004d189f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AnnotationText">
    <w:name w:val="Annotation Text"/>
    <w:basedOn w:val="Normal"/>
    <w:link w:val="CommentTextChar"/>
    <w:uiPriority w:val="99"/>
    <w:unhideWhenUsed/>
    <w:rsid w:val="00161364"/>
    <w:pPr/>
    <w:rPr>
      <w:rFonts w:eastAsia="" w:eastAsiaTheme="minorEastAsia"/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946e7c"/>
    <w:pPr/>
    <w:rPr>
      <w:rFonts w:eastAsia="Calibri" w:eastAsiaTheme="minorHAnsi"/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004e"/>
    <w:pPr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9233f"/>
    <w:pPr/>
    <w:rPr>
      <w:sz w:val="20"/>
      <w:szCs w:val="20"/>
    </w:rPr>
  </w:style>
  <w:style w:type="paragraph" w:styleId="Revision">
    <w:name w:val="Revision"/>
    <w:uiPriority w:val="99"/>
    <w:semiHidden/>
    <w:qFormat/>
    <w:rsid w:val="0034591e"/>
    <w:pPr>
      <w:widowControl/>
      <w:suppressAutoHyphens w:val="true"/>
      <w:bidi w:val="0"/>
      <w:spacing w:before="0" w:after="1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NoSpacing">
    <w:name w:val="No Spacing"/>
    <w:basedOn w:val="Normal"/>
    <w:link w:val="NoSpacingChar"/>
    <w:uiPriority w:val="1"/>
    <w:qFormat/>
    <w:rsid w:val="00531a76"/>
    <w:pPr>
      <w:pBdr>
        <w:top w:val="single" w:sz="4" w:space="1" w:color="000000" w:themeColor="dark1"/>
        <w:left w:val="single" w:sz="4" w:space="4" w:color="000000" w:themeColor="dark1"/>
        <w:bottom w:val="single" w:sz="4" w:space="1" w:color="000000" w:themeColor="dark1"/>
        <w:right w:val="single" w:sz="4" w:space="4" w:color="000000" w:themeColor="dark1"/>
      </w:pBdr>
      <w:spacing w:before="0" w:after="0"/>
      <w:contextualSpacing/>
    </w:pPr>
    <w:rPr>
      <w:rFonts w:ascii="Garamond" w:hAnsi="Garamond" w:eastAsia="Calibri" w:cs="Calibri" w:cstheme="minorHAnsi"/>
      <w:bCs/>
      <w:color w:themeColor="text1" w:val="000000"/>
      <w:sz w:val="24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343ea"/>
    <w:pPr/>
    <w:rPr>
      <w:rFonts w:ascii="Garamond" w:hAnsi="Garamond" w:cs="Calibri" w:cstheme="minorHAnsi"/>
      <w:b/>
      <w:bCs/>
      <w:sz w:val="28"/>
      <w:szCs w:val="28"/>
    </w:rPr>
  </w:style>
  <w:style w:type="paragraph" w:styleId="BodyBullet" w:customStyle="1">
    <w:name w:val="Body Bullet"/>
    <w:basedOn w:val="NoSpacing"/>
    <w:link w:val="BodyBulletChar"/>
    <w:qFormat/>
    <w:rsid w:val="00107ff7"/>
    <w:pPr>
      <w:numPr>
        <w:ilvl w:val="0"/>
        <w:numId w:val="3"/>
      </w:numPr>
      <w:ind w:hanging="357" w:left="357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"/>
    <w:next w:val="Normal"/>
    <w:uiPriority w:val="39"/>
    <w:unhideWhenUsed/>
    <w:qFormat/>
    <w:rsid w:val="005f7907"/>
    <w:pPr>
      <w:keepNext w:val="true"/>
      <w:keepLines/>
      <w:shd w:val="clear" w:color="auto" w:fill="auto"/>
      <w:spacing w:lineRule="auto" w:line="259" w:before="240" w:after="100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F5496"/>
      <w:sz w:val="32"/>
      <w:szCs w:val="32"/>
      <w:lang w:eastAsia="en-GB"/>
    </w:rPr>
  </w:style>
  <w:style w:type="paragraph" w:styleId="TOC1">
    <w:name w:val="TOC 1"/>
    <w:basedOn w:val="BodyText"/>
    <w:next w:val="Normal"/>
    <w:uiPriority w:val="39"/>
    <w:unhideWhenUsed/>
    <w:rsid w:val="00415b96"/>
    <w:pPr>
      <w:tabs>
        <w:tab w:val="clear" w:pos="720"/>
        <w:tab w:val="right" w:pos="10456" w:leader="dot"/>
      </w:tabs>
    </w:pPr>
    <w:rPr>
      <w:rFonts w:ascii="Garamond" w:hAnsi="Garamond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7261e"/>
    <w:pPr>
      <w:tabs>
        <w:tab w:val="clear" w:pos="720"/>
        <w:tab w:val="right" w:pos="10456" w:leader="dot"/>
      </w:tabs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5f7907"/>
    <w:pPr>
      <w:spacing w:lineRule="auto" w:line="276"/>
      <w:ind w:left="480"/>
    </w:pPr>
    <w:rPr>
      <w:rFonts w:eastAsia="" w:eastAsiaTheme="minorEastAsia"/>
      <w:kern w:val="2"/>
      <w:sz w:val="24"/>
      <w:szCs w:val="24"/>
      <w:lang w:eastAsia="en-GB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5f7907"/>
    <w:pPr>
      <w:spacing w:lineRule="auto" w:line="276"/>
      <w:ind w:left="720"/>
    </w:pPr>
    <w:rPr>
      <w:rFonts w:eastAsia="" w:eastAsiaTheme="minorEastAsia"/>
      <w:kern w:val="2"/>
      <w:sz w:val="24"/>
      <w:szCs w:val="24"/>
      <w:lang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f7907"/>
    <w:pPr>
      <w:spacing w:lineRule="auto" w:line="276"/>
      <w:ind w:left="960"/>
    </w:pPr>
    <w:rPr>
      <w:rFonts w:eastAsia="" w:eastAsiaTheme="minorEastAsia"/>
      <w:kern w:val="2"/>
      <w:sz w:val="24"/>
      <w:szCs w:val="24"/>
      <w:lang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f7907"/>
    <w:pPr>
      <w:spacing w:lineRule="auto" w:line="276"/>
      <w:ind w:left="1200"/>
    </w:pPr>
    <w:rPr>
      <w:rFonts w:eastAsia="" w:eastAsiaTheme="minorEastAsia"/>
      <w:kern w:val="2"/>
      <w:sz w:val="24"/>
      <w:szCs w:val="24"/>
      <w:lang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f7907"/>
    <w:pPr>
      <w:spacing w:lineRule="auto" w:line="276"/>
      <w:ind w:left="1440"/>
    </w:pPr>
    <w:rPr>
      <w:rFonts w:eastAsia="" w:eastAsiaTheme="minorEastAsia"/>
      <w:kern w:val="2"/>
      <w:sz w:val="24"/>
      <w:szCs w:val="24"/>
      <w:lang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f7907"/>
    <w:pPr>
      <w:spacing w:lineRule="auto" w:line="276"/>
      <w:ind w:left="1680"/>
    </w:pPr>
    <w:rPr>
      <w:rFonts w:eastAsia="" w:eastAsiaTheme="minorEastAsia"/>
      <w:kern w:val="2"/>
      <w:sz w:val="24"/>
      <w:szCs w:val="24"/>
      <w:lang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f7907"/>
    <w:pPr>
      <w:spacing w:lineRule="auto" w:line="276"/>
      <w:ind w:left="1920"/>
    </w:pPr>
    <w:rPr>
      <w:rFonts w:eastAsia="" w:eastAsiaTheme="minorEastAsia"/>
      <w:kern w:val="2"/>
      <w:sz w:val="24"/>
      <w:szCs w:val="24"/>
      <w:lang w:eastAsia="en-GB"/>
      <w14:ligatures w14:val="standardContextual"/>
    </w:rPr>
  </w:style>
  <w:style w:type="paragraph" w:styleId="Appendix3">
    <w:name w:val="Appendix 3"/>
    <w:qFormat/>
    <w:pPr>
      <w:widowControl/>
      <w:pBdr>
        <w:top w:val="single" w:sz="4" w:space="2" w:color="000000"/>
        <w:left w:val="single" w:sz="4" w:space="4" w:color="000000"/>
        <w:bottom w:val="single" w:sz="4" w:space="1" w:color="000000"/>
        <w:right w:val="single" w:sz="4" w:space="4" w:color="000000"/>
      </w:pBdr>
      <w:shd w:fill="D9D9D9"/>
      <w:suppressAutoHyphens w:val="true"/>
      <w:bidi w:val="0"/>
      <w:spacing w:before="0" w:after="120"/>
      <w:ind w:hanging="357" w:left="357"/>
      <w:contextualSpacing/>
      <w:jc w:val="left"/>
    </w:pPr>
    <w:rPr>
      <w:rFonts w:ascii="Garamond" w:hAnsi="Garamond" w:eastAsia="Calibri" w:cs="Calibri"/>
      <w:b/>
      <w:color w:val="000000"/>
      <w:kern w:val="0"/>
      <w:sz w:val="24"/>
      <w:szCs w:val="24"/>
      <w:lang w:val="en-GB" w:eastAsia="en-US" w:bidi="ar-SA"/>
    </w:rPr>
  </w:style>
  <w:style w:type="paragraph" w:styleId="Appendix2">
    <w:name w:val="Appendix 2"/>
    <w:qFormat/>
    <w:pPr>
      <w:widowControl/>
      <w:pBdr>
        <w:top w:val="single" w:sz="4" w:space="2" w:color="000000"/>
        <w:left w:val="single" w:sz="4" w:space="4" w:color="000000"/>
        <w:bottom w:val="single" w:sz="4" w:space="1" w:color="000000"/>
        <w:right w:val="single" w:sz="4" w:space="4" w:color="000000"/>
      </w:pBdr>
      <w:shd w:fill="DAD5D0"/>
      <w:suppressAutoHyphens w:val="true"/>
      <w:bidi w:val="0"/>
      <w:spacing w:before="0" w:after="120"/>
      <w:ind w:hanging="357" w:left="357"/>
      <w:contextualSpacing/>
      <w:jc w:val="left"/>
    </w:pPr>
    <w:rPr>
      <w:rFonts w:ascii="Garamond" w:hAnsi="Garamond" w:eastAsia="Calibri" w:cs="Calibri"/>
      <w:b/>
      <w:color w:val="000000"/>
      <w:kern w:val="0"/>
      <w:sz w:val="24"/>
      <w:szCs w:val="24"/>
      <w:lang w:val="en-GB" w:eastAsia="en-US" w:bidi="ar-SA"/>
    </w:rPr>
  </w:style>
  <w:style w:type="paragraph" w:styleId="Code">
    <w:name w:val="Code"/>
    <w:basedOn w:val="Normal"/>
    <w:qFormat/>
    <w:pPr>
      <w:widowControl/>
      <w:suppressAutoHyphens w:val="true"/>
      <w:bidi w:val="0"/>
      <w:spacing w:before="120" w:after="120"/>
      <w:contextualSpacing/>
      <w:jc w:val="left"/>
    </w:pPr>
    <w:rPr>
      <w:rFonts w:ascii="Courier New" w:hAnsi="Courier New" w:eastAsia="Calibri" w:cs="0"/>
      <w:color w:val="7F7F7F"/>
      <w:kern w:val="0"/>
      <w:sz w:val="20"/>
      <w:szCs w:val="22"/>
      <w:lang w:val="en-GB" w:eastAsia="en-US" w:bidi="ar-SA"/>
    </w:rPr>
  </w:style>
  <w:style w:type="paragraph" w:styleId="Appendix1">
    <w:name w:val="Appendix 1"/>
    <w:basedOn w:val="Heading1"/>
    <w:qFormat/>
    <w:pPr>
      <w:widowControl/>
      <w:pBdr>
        <w:top w:val="single" w:sz="4" w:space="2" w:color="000000"/>
        <w:left w:val="single" w:sz="4" w:space="4" w:color="000000"/>
        <w:bottom w:val="single" w:sz="4" w:space="1" w:color="000000"/>
        <w:right w:val="single" w:sz="4" w:space="4" w:color="000000"/>
      </w:pBdr>
      <w:suppressAutoHyphens w:val="true"/>
      <w:bidi w:val="0"/>
      <w:spacing w:before="0" w:after="120"/>
      <w:ind w:hanging="170" w:left="170"/>
      <w:contextualSpacing/>
      <w:jc w:val="left"/>
    </w:pPr>
    <w:rPr>
      <w:rFonts w:ascii="Garamond" w:hAnsi="Garamond" w:eastAsia="Calibri" w:cs="Calibri"/>
      <w:b/>
      <w:color w:themeColor="background1" w:val="FFFFFF"/>
      <w:kern w:val="0"/>
      <w:sz w:val="32"/>
      <w:szCs w:val="24"/>
      <w:lang w:val="en-GB" w:eastAsia="en-US" w:bidi="ar-SA"/>
    </w:rPr>
  </w:style>
  <w:style w:type="paragraph" w:styleId="HTMLPreformatted">
    <w:name w:val="HTML Preformatted"/>
    <w:basedOn w:val="Norma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bidi w:val="0"/>
      <w:spacing w:before="0" w:after="0"/>
      <w:jc w:val="left"/>
    </w:pPr>
    <w:rPr>
      <w:rFonts w:ascii="Courier New" w:hAnsi="Courier New" w:eastAsia="Times New Roman" w:cs="Courier New"/>
      <w:color w:val="auto"/>
      <w:kern w:val="0"/>
      <w:sz w:val="20"/>
      <w:szCs w:val="20"/>
      <w:lang w:val="en-GB" w:eastAsia="en-GB" w:bidi="ar-SA"/>
    </w:rPr>
  </w:style>
  <w:style w:type="paragraph" w:styleId="code-line">
    <w:name w:val="code-line"/>
    <w:basedOn w:val="Normal"/>
    <w:qFormat/>
    <w:pPr>
      <w:widowControl/>
      <w:suppressAutoHyphens w:val="true"/>
      <w:bidi w:val="0"/>
      <w:spacing w:beforeAutospacing="1" w:afterAutospacing="1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GB" w:bidi="ar-SA"/>
    </w:rPr>
  </w:style>
  <w:style w:type="paragraph" w:styleId="msonormal">
    <w:name w:val="msonormal"/>
    <w:basedOn w:val="Normal"/>
    <w:qFormat/>
    <w:pPr>
      <w:widowControl/>
      <w:suppressAutoHyphens w:val="true"/>
      <w:bidi w:val="0"/>
      <w:spacing w:beforeAutospacing="1" w:afterAutospacing="1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GB" w:bidi="ar-SA"/>
    </w:rPr>
  </w:style>
  <w:style w:type="paragraph" w:styleId="HelpText">
    <w:name w:val="Help Text"/>
    <w:basedOn w:val="Normal"/>
    <w:qFormat/>
    <w:pPr>
      <w:widowControl/>
      <w:pBdr>
        <w:top w:val="dashed" w:sz="4" w:space="1" w:color="000000"/>
        <w:left w:val="dashed" w:sz="4" w:space="4" w:color="000000"/>
        <w:bottom w:val="dashed" w:sz="4" w:space="1" w:color="000000"/>
        <w:right w:val="dashed" w:sz="4" w:space="4" w:color="000000"/>
      </w:pBdr>
      <w:suppressAutoHyphens w:val="true"/>
      <w:bidi w:val="0"/>
      <w:spacing w:before="120" w:after="120"/>
      <w:jc w:val="left"/>
    </w:pPr>
    <w:rPr>
      <w:rFonts w:ascii="Garamond" w:hAnsi="Garamond" w:eastAsia="Calibri" w:cs="0"/>
      <w:i/>
      <w:color w:val="808080"/>
      <w:kern w:val="0"/>
      <w:sz w:val="24"/>
      <w:szCs w:val="22"/>
      <w:lang w:val="en-GB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PolicyStyle" w:customStyle="1">
    <w:name w:val="Policy Style"/>
    <w:uiPriority w:val="99"/>
    <w:qFormat/>
    <w:rsid w:val="00546a54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1078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6ColourfulAccent5">
    <w:name w:val="Grid Table 6 Colorful Accent 5"/>
    <w:basedOn w:val="TableNormal"/>
    <w:uiPriority w:val="51"/>
    <w:rsid w:val="00ec286c"/>
    <w:rPr>
      <w:color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TableGrid1">
    <w:name w:val="Table Grid1"/>
    <w:basedOn w:val="TableNormal"/>
    <w:uiPriority w:val="59"/>
    <w:rsid w:val="00aa4d5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E9B0B3E7AA247AB12B0FE01F0DC95" ma:contentTypeVersion="4" ma:contentTypeDescription="Create a new document." ma:contentTypeScope="" ma:versionID="c16813e6d70c85c4fabac2564aeb84fa">
  <xsd:schema xmlns:xsd="http://www.w3.org/2001/XMLSchema" xmlns:xs="http://www.w3.org/2001/XMLSchema" xmlns:p="http://schemas.microsoft.com/office/2006/metadata/properties" xmlns:ns2="6d55e2ff-5e65-48fe-92df-91d731d57ba8" targetNamespace="http://schemas.microsoft.com/office/2006/metadata/properties" ma:root="true" ma:fieldsID="b5bc0af3d9a6a6334aefedb1d41219ba" ns2:_="">
    <xsd:import namespace="6d55e2ff-5e65-48fe-92df-91d731d57b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5e2ff-5e65-48fe-92df-91d731d57b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601713-A3C1-4141-9AF2-C7C813005A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5e2ff-5e65-48fe-92df-91d731d57b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E3BFD5-5CE9-40BE-B22C-3CFFDC0B3DEE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www.w3.org/XML/1998/namespace"/>
    <ds:schemaRef ds:uri="6d55e2ff-5e65-48fe-92df-91d731d57ba8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5DECC1E4-AFED-41E8-8A7D-282F53A2F9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9BE307-9817-4817-88E3-A1A99F054A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15497</TotalTime>
  <Application>LibreOffice/24.2.7.2$Linux_X86_64 LibreOffice_project/420$Build-2</Application>
  <AppVersion>15.0000</AppVersion>
  <Pages>5</Pages>
  <Words>1718</Words>
  <Characters>9950</Characters>
  <CharactersWithSpaces>11343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IT Policy</cp:category>
  <cp:contentStatus>Approved</cp:contentStatus>
  <dcterms:created xsi:type="dcterms:W3CDTF">2025-05-22T13:43:16Z</dcterms:created>
  <dc:creator/>
  <dc:description/>
  <dc:language>en-GB</dc:language>
  <cp:lastModifiedBy/>
  <dcterms:modified xsi:type="dcterms:W3CDTF">2025-12-14T18:57:59Z</dcterms:modified>
  <cp:revision>13</cp:revision>
  <dc:subject/>
  <dc:title>Group Architecture Glossary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ed">
    <vt:bool>1</vt:bool>
  </property>
  <property fmtid="{D5CDD505-2E9C-101B-9397-08002B2CF9AE}" pid="3" name="ContentTypeId">
    <vt:lpwstr>0x010100FD2E9B0B3E7AA247AB12B0FE01F0DC95</vt:lpwstr>
  </property>
  <property fmtid="{D5CDD505-2E9C-101B-9397-08002B2CF9AE}" pid="4" name="Document Type">
    <vt:lpwstr>Policy</vt:lpwstr>
  </property>
  <property fmtid="{D5CDD505-2E9C-101B-9397-08002B2CF9AE}" pid="5" name="Owner">
    <vt:lpwstr>Jody Lawrence</vt:lpwstr>
  </property>
  <property fmtid="{D5CDD505-2E9C-101B-9397-08002B2CF9AE}" pid="6" name="Review by">
    <vt:filetime>2023-12-01T00:00:00Z</vt:filetime>
  </property>
  <property fmtid="{D5CDD505-2E9C-101B-9397-08002B2CF9AE}" pid="7" name="Reviewed">
    <vt:bool>0</vt:bool>
  </property>
  <property fmtid="{D5CDD505-2E9C-101B-9397-08002B2CF9AE}" pid="8" name="Status">
    <vt:lpwstr>Approved</vt:lpwstr>
  </property>
</Properties>
</file>