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774"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2640"/>
        <w:gridCol w:w="8133"/>
      </w:tblGrid>
      <w:tr>
        <w:trPr>
          <w:trHeight w:val="340" w:hRule="atLeast"/>
        </w:trPr>
        <w:tc>
          <w:tcPr>
            <w:tcW w:w="2640" w:type="dxa"/>
            <w:tcBorders/>
            <w:shd w:color="auto" w:fill="385623" w:themeFill="accent6" w:themeFillShade="80" w:val="clear"/>
            <w:vAlign w:val="center"/>
          </w:tcPr>
          <w:p>
            <w:pPr>
              <w:pStyle w:val="Normal"/>
              <w:widowControl/>
              <w:suppressAutoHyphens w:val="true"/>
              <w:spacing w:before="0" w:after="0"/>
              <w:ind w:hanging="37" w:left="37"/>
              <w:jc w:val="left"/>
              <w:rPr>
                <w:rFonts w:ascii="FreeSerif" w:hAnsi="FreeSerif" w:eastAsia="Calibri" w:cs="Arial"/>
                <w:kern w:val="0"/>
                <w:sz w:val="22"/>
                <w:szCs w:val="22"/>
                <w:lang w:val="en-GB" w:eastAsia="en-US" w:bidi="ar-SA"/>
              </w:rPr>
            </w:pPr>
            <w:r>
              <w:rPr>
                <w:rFonts w:eastAsia="Calibri" w:cs="Calibri" w:ascii="FreeSerif" w:hAnsi="FreeSerif" w:cstheme="minorHAnsi"/>
                <w:b/>
                <w:color w:themeColor="background1" w:val="FFFFFF"/>
                <w:kern w:val="0"/>
                <w:sz w:val="28"/>
                <w:szCs w:val="28"/>
                <w:lang w:val="en-GB" w:eastAsia="en-US" w:bidi="ar-SA"/>
              </w:rPr>
              <w:t>Title</w:t>
            </w:r>
          </w:p>
        </w:tc>
        <w:tc>
          <w:tcPr>
            <w:tcW w:w="8133" w:type="dxa"/>
            <w:tcBorders/>
          </w:tcPr>
          <w:p>
            <w:pPr>
              <w:pStyle w:val="Title"/>
              <w:widowControl/>
              <w:suppressAutoHyphens w:val="true"/>
              <w:spacing w:before="0" w:after="0"/>
              <w:ind w:hanging="357" w:left="357"/>
              <w:jc w:val="left"/>
              <w:rPr>
                <w:rFonts w:ascii="FreeSerif" w:hAnsi="FreeSerif" w:eastAsia="Calibri"/>
                <w:kern w:val="0"/>
                <w:lang w:val="en-GB" w:eastAsia="en-US" w:bidi="ar-SA"/>
              </w:rPr>
            </w:pPr>
            <w:r>
              <w:rPr>
                <w:rFonts w:eastAsia="Calibri" w:ascii="FreeSerif" w:hAnsi="FreeSerif"/>
                <w:kern w:val="0"/>
                <w:lang w:val="en-GB" w:eastAsia="en-US" w:bidi="ar-SA"/>
              </w:rPr>
              <w:t>Data Sensitivity Classification Policy</w:t>
            </w:r>
          </w:p>
        </w:tc>
      </w:tr>
      <w:tr>
        <w:trPr>
          <w:trHeight w:val="340" w:hRule="atLeast"/>
        </w:trPr>
        <w:tc>
          <w:tcPr>
            <w:tcW w:w="2640" w:type="dxa"/>
            <w:tcBorders/>
            <w:shd w:color="auto" w:fill="DAD5D0" w:val="clear"/>
            <w:vAlign w:val="cente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Owner</w:t>
            </w:r>
          </w:p>
        </w:tc>
        <w:tc>
          <w:tcPr>
            <w:tcW w:w="8133" w:type="dxa"/>
            <w:tcBorders/>
          </w:tcPr>
          <w:p>
            <w:pPr>
              <w:pStyle w:val="Normal"/>
              <w:widowControl/>
              <w:suppressAutoHyphens w:val="true"/>
              <w:spacing w:before="0" w:after="0"/>
              <w:ind w:hanging="357" w:left="357"/>
              <w:jc w:val="left"/>
              <w:rPr>
                <w:rFonts w:ascii="FreeSerif" w:hAnsi="FreeSerif" w:eastAsia="Calibri" w:cs="Arial"/>
                <w:kern w:val="0"/>
                <w:sz w:val="24"/>
                <w:szCs w:val="24"/>
                <w:lang w:val="en-GB" w:eastAsia="en-US" w:bidi="ar-SA"/>
              </w:rPr>
            </w:pPr>
            <w:r>
              <w:rPr>
                <w:rFonts w:eastAsia="Calibri" w:cs="Arial" w:ascii="FreeSerif" w:hAnsi="FreeSerif"/>
                <w:kern w:val="0"/>
                <w:sz w:val="24"/>
                <w:szCs w:val="24"/>
                <w:lang w:val="en-GB" w:eastAsia="en-US" w:bidi="ar-SA"/>
              </w:rPr>
            </w:r>
          </w:p>
        </w:tc>
      </w:tr>
      <w:tr>
        <w:trPr>
          <w:trHeight w:val="340" w:hRule="atLeast"/>
        </w:trPr>
        <w:tc>
          <w:tcPr>
            <w:tcW w:w="2640" w:type="dxa"/>
            <w:tcBorders/>
            <w:shd w:color="auto" w:fill="DAD5D0" w:val="clear"/>
            <w:vAlign w:val="cente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Version Number</w:t>
            </w:r>
          </w:p>
        </w:tc>
        <w:tc>
          <w:tcPr>
            <w:tcW w:w="8133"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340" w:hRule="atLeast"/>
        </w:trPr>
        <w:tc>
          <w:tcPr>
            <w:tcW w:w="2640" w:type="dxa"/>
            <w:tcBorders/>
            <w:shd w:color="auto" w:fill="DAD5D0" w:val="clear"/>
            <w:vAlign w:val="cente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Document Id</w:t>
            </w:r>
          </w:p>
        </w:tc>
        <w:tc>
          <w:tcPr>
            <w:tcW w:w="8133"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340" w:hRule="atLeast"/>
        </w:trPr>
        <w:tc>
          <w:tcPr>
            <w:tcW w:w="2640" w:type="dxa"/>
            <w:tcBorders/>
            <w:shd w:color="auto" w:fill="DAD5D0" w:val="clear"/>
            <w:vAlign w:val="cente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Primary Audience</w:t>
            </w:r>
          </w:p>
        </w:tc>
        <w:tc>
          <w:tcPr>
            <w:tcW w:w="8133"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340" w:hRule="atLeast"/>
        </w:trPr>
        <w:tc>
          <w:tcPr>
            <w:tcW w:w="2640" w:type="dxa"/>
            <w:tcBorders/>
            <w:shd w:color="auto" w:fill="DAD5D0" w:val="clear"/>
            <w:vAlign w:val="cente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Document Location</w:t>
            </w:r>
          </w:p>
        </w:tc>
        <w:tc>
          <w:tcPr>
            <w:tcW w:w="8133" w:type="dxa"/>
            <w:tcBorders/>
          </w:tcPr>
          <w:p>
            <w:pPr>
              <w:pStyle w:val="Normal"/>
              <w:widowControl/>
              <w:suppressAutoHyphens w:val="true"/>
              <w:spacing w:before="0" w:after="0"/>
              <w:ind w:hanging="357" w:left="357"/>
              <w:jc w:val="left"/>
              <w:rPr>
                <w:rFonts w:ascii="FreeSerif" w:hAnsi="FreeSerif" w:eastAsia="Calibri" w:cs="Segoe UI"/>
                <w:kern w:val="0"/>
                <w:sz w:val="24"/>
                <w:szCs w:val="24"/>
                <w:lang w:val="en-GB" w:eastAsia="en-US" w:bidi="ar-SA"/>
              </w:rPr>
            </w:pPr>
            <w:r>
              <w:rPr>
                <w:rFonts w:eastAsia="Calibri" w:cs="Segoe UI" w:ascii="FreeSerif" w:hAnsi="FreeSerif"/>
                <w:kern w:val="0"/>
                <w:sz w:val="24"/>
                <w:szCs w:val="24"/>
                <w:lang w:val="en-GB" w:eastAsia="en-US" w:bidi="ar-SA"/>
              </w:rPr>
            </w:r>
          </w:p>
        </w:tc>
      </w:tr>
      <w:tr>
        <w:trPr>
          <w:trHeight w:val="340" w:hRule="atLeast"/>
        </w:trPr>
        <w:tc>
          <w:tcPr>
            <w:tcW w:w="2640" w:type="dxa"/>
            <w:tcBorders/>
            <w:shd w:color="auto" w:fill="DAD5D0" w:val="clear"/>
            <w:vAlign w:val="cente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Next Review Date</w:t>
            </w:r>
          </w:p>
        </w:tc>
        <w:tc>
          <w:tcPr>
            <w:tcW w:w="8133" w:type="dxa"/>
            <w:tcBorders/>
          </w:tcPr>
          <w:p>
            <w:pPr>
              <w:pStyle w:val="Normal"/>
              <w:widowControl/>
              <w:suppressAutoHyphens w:val="true"/>
              <w:spacing w:before="0" w:after="0"/>
              <w:ind w:hanging="357" w:left="357"/>
              <w:jc w:val="left"/>
              <w:rPr>
                <w:rFonts w:ascii="FreeSerif" w:hAnsi="FreeSerif" w:eastAsia="Calibri" w:cs="Arial"/>
                <w:kern w:val="0"/>
                <w:sz w:val="24"/>
                <w:szCs w:val="24"/>
                <w:lang w:val="en-GB" w:eastAsia="en-US" w:bidi="ar-SA"/>
              </w:rPr>
            </w:pPr>
            <w:r>
              <w:rPr>
                <w:rFonts w:eastAsia="Calibri" w:cs="Arial" w:ascii="FreeSerif" w:hAnsi="FreeSerif"/>
                <w:kern w:val="0"/>
                <w:sz w:val="24"/>
                <w:szCs w:val="24"/>
                <w:lang w:val="en-GB" w:eastAsia="en-US" w:bidi="ar-SA"/>
              </w:rPr>
            </w:r>
          </w:p>
        </w:tc>
      </w:tr>
    </w:tbl>
    <w:p>
      <w:pPr>
        <w:pStyle w:val="ListParagraph"/>
        <w:ind w:hanging="357" w:left="360"/>
        <w:rPr>
          <w:rFonts w:ascii="FreeSerif" w:hAnsi="FreeSerif" w:cs="Calibri" w:cstheme="minorHAnsi"/>
          <w:b/>
          <w:sz w:val="24"/>
          <w:szCs w:val="24"/>
        </w:rPr>
      </w:pPr>
      <w:r>
        <w:rPr>
          <w:rFonts w:cs="Calibri" w:cstheme="minorHAnsi" w:ascii="FreeSerif" w:hAnsi="FreeSerif"/>
          <w:b/>
          <w:sz w:val="24"/>
          <w:szCs w:val="24"/>
        </w:rPr>
      </w:r>
    </w:p>
    <w:p>
      <w:pPr>
        <w:pStyle w:val="Heading1"/>
        <w:numPr>
          <w:ilvl w:val="0"/>
          <w:numId w:val="24"/>
        </w:numPr>
        <w:rPr>
          <w:rFonts w:ascii="FreeSerif" w:hAnsi="FreeSerif"/>
        </w:rPr>
      </w:pPr>
      <w:r>
        <w:rPr>
          <w:rFonts w:ascii="FreeSerif" w:hAnsi="FreeSerif"/>
        </w:rPr>
        <w:t>Objective</w:t>
      </w:r>
    </w:p>
    <w:p>
      <w:pPr>
        <w:pStyle w:val="NoSpacing"/>
        <w:rPr>
          <w:rFonts w:ascii="FreeSerif" w:hAnsi="FreeSerif"/>
        </w:rPr>
      </w:pPr>
      <w:r>
        <w:rPr>
          <w:rFonts w:ascii="FreeSerif" w:hAnsi="FreeSerif"/>
        </w:rPr>
        <w:t>This policy sets out the data sensitivity classifications and corresponding minimum standards for handling data. Its purpose is to protect the information we hold from unauthorised access, modification, and distribution, whether through an inadvertent act or a deliberate attack from an adversary.</w:t>
      </w:r>
    </w:p>
    <w:p>
      <w:pPr>
        <w:pStyle w:val="ListParagraph"/>
        <w:ind w:hanging="357" w:left="360"/>
        <w:rPr>
          <w:rFonts w:ascii="FreeSerif" w:hAnsi="FreeSerif" w:cs="Calibri" w:cstheme="minorHAnsi"/>
          <w:b/>
          <w:sz w:val="24"/>
          <w:szCs w:val="24"/>
        </w:rPr>
      </w:pPr>
      <w:r>
        <w:rPr>
          <w:rFonts w:cs="Calibri" w:cstheme="minorHAnsi" w:ascii="FreeSerif" w:hAnsi="FreeSerif"/>
          <w:b/>
          <w:sz w:val="24"/>
          <w:szCs w:val="24"/>
        </w:rPr>
      </w:r>
    </w:p>
    <w:p>
      <w:pPr>
        <w:pStyle w:val="Heading1"/>
        <w:numPr>
          <w:ilvl w:val="0"/>
          <w:numId w:val="24"/>
        </w:numPr>
        <w:rPr>
          <w:rFonts w:ascii="FreeSerif" w:hAnsi="FreeSerif"/>
        </w:rPr>
      </w:pPr>
      <w:r>
        <w:rPr>
          <w:rFonts w:ascii="FreeSerif" w:hAnsi="FreeSerif"/>
        </w:rPr>
        <w:t>CONTEXT</w:t>
      </w:r>
    </w:p>
    <w:p>
      <w:pPr>
        <w:pStyle w:val="Heading2"/>
        <w:numPr>
          <w:ilvl w:val="1"/>
          <w:numId w:val="24"/>
        </w:numPr>
        <w:rPr>
          <w:rFonts w:ascii="FreeSerif" w:hAnsi="FreeSerif"/>
        </w:rPr>
      </w:pPr>
      <w:r>
        <w:rPr>
          <w:rFonts w:ascii="FreeSerif" w:hAnsi="FreeSerif"/>
        </w:rPr>
        <w:t>Business Context</w:t>
      </w:r>
    </w:p>
    <w:p>
      <w:pPr>
        <w:pStyle w:val="NoSpacing"/>
        <w:rPr>
          <w:rFonts w:ascii="FreeSerif" w:hAnsi="FreeSerif"/>
        </w:rPr>
      </w:pPr>
      <w:r>
        <w:rPr>
          <w:rFonts w:ascii="FreeSerif" w:hAnsi="FreeSerif"/>
        </w:rPr>
        <w:t>This sensitive data classification policy details the precautions to protect data within [company] and the customer's enterprise. It applies to all data storage and transport forms and everyone in the business.</w:t>
      </w:r>
    </w:p>
    <w:p>
      <w:pPr>
        <w:pStyle w:val="ListParagraph"/>
        <w:ind w:hanging="357" w:left="360"/>
        <w:rPr>
          <w:rFonts w:ascii="FreeSerif" w:hAnsi="FreeSerif" w:cs="Calibri" w:cstheme="minorHAnsi"/>
          <w:b/>
          <w:sz w:val="24"/>
          <w:szCs w:val="24"/>
        </w:rPr>
      </w:pPr>
      <w:r>
        <w:rPr>
          <w:rFonts w:cs="Calibri" w:cstheme="minorHAnsi" w:ascii="FreeSerif" w:hAnsi="FreeSerif"/>
          <w:b/>
          <w:sz w:val="24"/>
          <w:szCs w:val="24"/>
        </w:rPr>
      </w:r>
    </w:p>
    <w:p>
      <w:pPr>
        <w:pStyle w:val="Heading2"/>
        <w:numPr>
          <w:ilvl w:val="1"/>
          <w:numId w:val="24"/>
        </w:numPr>
        <w:rPr>
          <w:rFonts w:ascii="FreeSerif" w:hAnsi="FreeSerif"/>
        </w:rPr>
      </w:pPr>
      <w:r>
        <w:rPr>
          <w:rFonts w:ascii="FreeSerif" w:hAnsi="FreeSerif"/>
        </w:rPr>
        <w:t>Regulatory Context</w:t>
      </w:r>
    </w:p>
    <w:p>
      <w:pPr>
        <w:pStyle w:val="NoSpacing"/>
        <w:rPr>
          <w:rFonts w:ascii="FreeSerif" w:hAnsi="FreeSerif"/>
        </w:rPr>
      </w:pPr>
      <w:r>
        <w:rPr>
          <w:rFonts w:ascii="FreeSerif" w:hAnsi="FreeSerif"/>
        </w:rPr>
        <w:t>Succession’s requirements for meeting its obligations under the UK General Data Protection Regulation as well as the FCA’s expectations regarding how it collects, manages, secures and disposes of client data according to the sensitivity of the data, are set out in the Data Protection and Privacy Policy.</w:t>
      </w:r>
    </w:p>
    <w:p>
      <w:pPr>
        <w:pStyle w:val="ListParagraph"/>
        <w:ind w:hanging="357" w:left="360"/>
        <w:rPr>
          <w:rFonts w:ascii="FreeSerif" w:hAnsi="FreeSerif" w:cs="Calibri" w:cstheme="minorHAnsi"/>
          <w:b/>
          <w:sz w:val="24"/>
          <w:szCs w:val="24"/>
        </w:rPr>
      </w:pPr>
      <w:r>
        <w:rPr>
          <w:rFonts w:cs="Calibri" w:cstheme="minorHAnsi" w:ascii="FreeSerif" w:hAnsi="FreeSerif"/>
          <w:b/>
          <w:sz w:val="24"/>
          <w:szCs w:val="24"/>
        </w:rPr>
      </w:r>
    </w:p>
    <w:p>
      <w:pPr>
        <w:pStyle w:val="Heading2"/>
        <w:numPr>
          <w:ilvl w:val="1"/>
          <w:numId w:val="24"/>
        </w:numPr>
        <w:rPr>
          <w:rFonts w:ascii="FreeSerif" w:hAnsi="FreeSerif"/>
        </w:rPr>
      </w:pPr>
      <w:r>
        <w:rPr>
          <w:rFonts w:ascii="FreeSerif" w:hAnsi="FreeSerif"/>
        </w:rPr>
        <w:t>Scope</w:t>
      </w:r>
    </w:p>
    <w:p>
      <w:pPr>
        <w:pStyle w:val="NoSpacing"/>
        <w:rPr>
          <w:rFonts w:ascii="FreeSerif" w:hAnsi="FreeSerif"/>
        </w:rPr>
      </w:pPr>
      <w:r>
        <w:rPr>
          <w:rFonts w:ascii="FreeSerif" w:hAnsi="FreeSerif"/>
        </w:rPr>
        <w:t xml:space="preserve">This policy covers the entire life cycle of data within Succession. It includes all written and electronic information held, used or transmitted by or on behalf of Succession, in whatever media. This also includes information on computer systems, hand-held devices, phones and paper records. </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rPr>
        <w:t>The information covered by this policy includes:</w:t>
      </w:r>
    </w:p>
    <w:p>
      <w:pPr>
        <w:pStyle w:val="NoSpacing"/>
        <w:numPr>
          <w:ilvl w:val="0"/>
          <w:numId w:val="18"/>
        </w:numPr>
        <w:ind w:hanging="357" w:left="357"/>
        <w:rPr>
          <w:rFonts w:ascii="FreeSerif" w:hAnsi="FreeSerif"/>
        </w:rPr>
      </w:pPr>
      <w:r>
        <w:rPr>
          <w:rFonts w:ascii="FreeSerif" w:hAnsi="FreeSerif"/>
        </w:rPr>
        <w:t>personal information relating to staff, clients, and suppliers.</w:t>
      </w:r>
    </w:p>
    <w:p>
      <w:pPr>
        <w:pStyle w:val="NoSpacing"/>
        <w:numPr>
          <w:ilvl w:val="0"/>
          <w:numId w:val="18"/>
        </w:numPr>
        <w:ind w:hanging="357" w:left="357"/>
        <w:rPr>
          <w:rFonts w:ascii="FreeSerif" w:hAnsi="FreeSerif"/>
        </w:rPr>
      </w:pPr>
      <w:r>
        <w:rPr>
          <w:rFonts w:ascii="FreeSerif" w:hAnsi="FreeSerif"/>
        </w:rPr>
        <w:t xml:space="preserve">other business information; and </w:t>
      </w:r>
    </w:p>
    <w:p>
      <w:pPr>
        <w:pStyle w:val="NoSpacing"/>
        <w:numPr>
          <w:ilvl w:val="0"/>
          <w:numId w:val="18"/>
        </w:numPr>
        <w:ind w:hanging="357" w:left="357"/>
        <w:rPr>
          <w:rFonts w:ascii="FreeSerif" w:hAnsi="FreeSerif"/>
        </w:rPr>
      </w:pPr>
      <w:r>
        <w:rPr>
          <w:rFonts w:ascii="FreeSerif" w:hAnsi="FreeSerif"/>
        </w:rPr>
        <w:t>confidential information.</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rPr>
        <w:t xml:space="preserve">Information Security is everyone’s responsibility, so this Policy applies to all staff, including employees, self-employed planners, contractors, interns, volunteers and apprentices. In addition, where appropriate, the requirements of this Policy should be communicated to all third parties who are or will be processing information on our behalf, so they can ensure that their systems and controls reflect the minimum standards set out in this Policy. </w:t>
      </w:r>
    </w:p>
    <w:p>
      <w:pPr>
        <w:pStyle w:val="ListParagraph"/>
        <w:ind w:hanging="357" w:left="360"/>
        <w:rPr>
          <w:rFonts w:ascii="FreeSerif" w:hAnsi="FreeSerif" w:cs="Calibri" w:cstheme="minorHAnsi"/>
          <w:b/>
          <w:sz w:val="24"/>
          <w:szCs w:val="24"/>
        </w:rPr>
      </w:pPr>
      <w:r>
        <w:rPr>
          <w:rFonts w:cs="Calibri" w:cstheme="minorHAnsi" w:ascii="FreeSerif" w:hAnsi="FreeSerif"/>
          <w:b/>
          <w:sz w:val="24"/>
          <w:szCs w:val="24"/>
        </w:rPr>
      </w:r>
    </w:p>
    <w:p>
      <w:pPr>
        <w:pStyle w:val="Heading2"/>
        <w:numPr>
          <w:ilvl w:val="1"/>
          <w:numId w:val="24"/>
        </w:numPr>
        <w:rPr>
          <w:rFonts w:ascii="FreeSerif" w:hAnsi="FreeSerif"/>
        </w:rPr>
      </w:pPr>
      <w:r>
        <w:rPr>
          <w:rFonts w:ascii="FreeSerif" w:hAnsi="FreeSerif"/>
        </w:rPr>
        <w:t>Risk Appetite Alignment</w:t>
      </w:r>
    </w:p>
    <w:p>
      <w:pPr>
        <w:pStyle w:val="NoSpacing"/>
        <w:rPr>
          <w:rFonts w:ascii="FreeSerif" w:hAnsi="FreeSerif"/>
        </w:rPr>
      </w:pPr>
      <w:r>
        <w:rPr>
          <w:rFonts w:ascii="FreeSerif" w:hAnsi="FreeSerif"/>
        </w:rPr>
        <w:t xml:space="preserve">The nature of information and cyber security risks is such that they can never be fully mitigated.  However, the Boards have no appetite for </w:t>
      </w:r>
      <w:r>
        <w:rPr>
          <w:rFonts w:cs="Calibri" w:ascii="FreeSerif" w:hAnsi="FreeSerif" w:cstheme="minorHAnsi"/>
        </w:rPr>
        <w:t xml:space="preserve">unauthorised or inappropriate transport, processing or release of data </w:t>
      </w:r>
      <w:r>
        <w:rPr>
          <w:rFonts w:ascii="FreeSerif" w:hAnsi="FreeSerif"/>
        </w:rPr>
        <w:t xml:space="preserve">held by [company] or our </w:t>
      </w:r>
      <w:r>
        <w:rPr>
          <w:rFonts w:cs="Calibri" w:ascii="FreeSerif" w:hAnsi="FreeSerif" w:cstheme="minorHAnsi"/>
        </w:rPr>
        <w:t>third parties.</w:t>
      </w:r>
    </w:p>
    <w:p>
      <w:pPr>
        <w:pStyle w:val="ListParagraph"/>
        <w:ind w:hanging="357" w:left="360"/>
        <w:rPr>
          <w:rFonts w:ascii="FreeSerif" w:hAnsi="FreeSerif" w:cs="Calibri" w:cstheme="minorHAnsi"/>
          <w:b/>
          <w:sz w:val="24"/>
          <w:szCs w:val="24"/>
        </w:rPr>
      </w:pPr>
      <w:r>
        <w:rPr>
          <w:rFonts w:cs="Calibri" w:cstheme="minorHAnsi" w:ascii="FreeSerif" w:hAnsi="FreeSerif"/>
          <w:b/>
          <w:sz w:val="24"/>
          <w:szCs w:val="24"/>
        </w:rPr>
      </w:r>
    </w:p>
    <w:p>
      <w:pPr>
        <w:pStyle w:val="Heading1"/>
        <w:numPr>
          <w:ilvl w:val="0"/>
          <w:numId w:val="24"/>
        </w:numPr>
        <w:rPr>
          <w:rFonts w:ascii="FreeSerif" w:hAnsi="FreeSerif"/>
        </w:rPr>
      </w:pPr>
      <w:r>
        <w:rPr>
          <w:rFonts w:ascii="FreeSerif" w:hAnsi="FreeSerif"/>
        </w:rPr>
        <w:t>REQUIREMENTS</w:t>
      </w:r>
    </w:p>
    <w:p>
      <w:pPr>
        <w:pStyle w:val="Heading2"/>
        <w:numPr>
          <w:ilvl w:val="1"/>
          <w:numId w:val="24"/>
        </w:numPr>
        <w:rPr>
          <w:rFonts w:ascii="FreeSerif" w:hAnsi="FreeSerif"/>
        </w:rPr>
      </w:pPr>
      <w:r>
        <w:rPr>
          <w:rFonts w:ascii="FreeSerif" w:hAnsi="FreeSerif"/>
        </w:rPr>
        <w:tab/>
        <w:t>Roles &amp; Responsibilities</w:t>
      </w:r>
    </w:p>
    <w:p>
      <w:pPr>
        <w:pStyle w:val="NoSpacing"/>
        <w:rPr>
          <w:rFonts w:ascii="FreeSerif" w:hAnsi="FreeSerif"/>
        </w:rPr>
      </w:pPr>
      <w:r>
        <w:rPr>
          <w:rFonts w:ascii="FreeSerif" w:hAnsi="FreeSerif"/>
          <w:b/>
          <w:bCs/>
        </w:rPr>
        <w:t>The Data Owner is responsible for:</w:t>
      </w:r>
    </w:p>
    <w:p>
      <w:pPr>
        <w:pStyle w:val="NoSpacing"/>
        <w:rPr>
          <w:rFonts w:ascii="FreeSerif" w:hAnsi="FreeSerif"/>
        </w:rPr>
      </w:pPr>
      <w:r>
        <w:rPr>
          <w:rFonts w:ascii="FreeSerif" w:hAnsi="FreeSerif"/>
        </w:rPr>
        <w:t xml:space="preserve">All data must have an owner responsible for understanding the appropriate risks and implications of the owned data getting breached. The Data Owner is also responsible for assigning the data sensitivity classification of the data and must ensure that it is consistently protected throughout its life cycle up to destruction in a manner commensurate with its sensitivity, regardless of the type of media that the data resides on and what technology is used to handle the data. </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b/>
          <w:bCs/>
        </w:rPr>
        <w:t xml:space="preserve">All Staff are responsible for:  </w:t>
      </w:r>
    </w:p>
    <w:p>
      <w:pPr>
        <w:pStyle w:val="NoSpacing"/>
        <w:numPr>
          <w:ilvl w:val="0"/>
          <w:numId w:val="22"/>
        </w:numPr>
        <w:ind w:hanging="357" w:left="357"/>
        <w:rPr>
          <w:rFonts w:ascii="FreeSerif" w:hAnsi="FreeSerif"/>
        </w:rPr>
      </w:pPr>
      <w:r>
        <w:rPr>
          <w:rFonts w:ascii="FreeSerif" w:hAnsi="FreeSerif"/>
        </w:rPr>
        <w:t>Understanding their responsibilities for ensuring that sensitive data is correctly classified and treated according to the classifications.</w:t>
      </w:r>
    </w:p>
    <w:p>
      <w:pPr>
        <w:pStyle w:val="NoSpacing"/>
        <w:numPr>
          <w:ilvl w:val="0"/>
          <w:numId w:val="22"/>
        </w:numPr>
        <w:ind w:hanging="357" w:left="357"/>
        <w:rPr>
          <w:rFonts w:ascii="FreeSerif" w:hAnsi="FreeSerif"/>
        </w:rPr>
      </w:pPr>
      <w:r>
        <w:rPr>
          <w:rFonts w:ascii="FreeSerif" w:hAnsi="FreeSerif"/>
        </w:rPr>
        <w:t>Line managers must ensure their team members know their responsibilities within this policy.</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b/>
          <w:bCs/>
        </w:rPr>
        <w:t>The Group Data Architecture Team is responsible for:</w:t>
      </w:r>
    </w:p>
    <w:p>
      <w:pPr>
        <w:pStyle w:val="NoSpacing"/>
        <w:numPr>
          <w:ilvl w:val="0"/>
          <w:numId w:val="23"/>
        </w:numPr>
        <w:ind w:hanging="357" w:left="357"/>
        <w:rPr>
          <w:rFonts w:ascii="FreeSerif" w:hAnsi="FreeSerif"/>
        </w:rPr>
      </w:pPr>
      <w:r>
        <w:rPr>
          <w:rFonts w:ascii="FreeSerif" w:hAnsi="FreeSerif"/>
        </w:rPr>
        <w:t>Ensuring that all data has an assigned responsible data owner and a data steward</w:t>
      </w:r>
    </w:p>
    <w:p>
      <w:pPr>
        <w:pStyle w:val="NoSpacing"/>
        <w:numPr>
          <w:ilvl w:val="0"/>
          <w:numId w:val="23"/>
        </w:numPr>
        <w:ind w:hanging="357" w:left="357"/>
        <w:rPr>
          <w:rFonts w:ascii="FreeSerif" w:hAnsi="FreeSerif"/>
        </w:rPr>
      </w:pPr>
      <w:r>
        <w:rPr>
          <w:rFonts w:ascii="FreeSerif" w:hAnsi="FreeSerif"/>
        </w:rPr>
        <w:t>Ensuring that the roles and responsibilities of the D</w:t>
      </w:r>
      <w:r>
        <w:rPr>
          <w:rFonts w:cs="Calibri" w:ascii="FreeSerif" w:hAnsi="FreeSerif" w:cstheme="minorHAnsi"/>
          <w:bCs/>
          <w:iCs/>
        </w:rPr>
        <w:t xml:space="preserve">ata Owner and Data Steward </w:t>
      </w:r>
      <w:r>
        <w:rPr>
          <w:rFonts w:ascii="FreeSerif" w:hAnsi="FreeSerif"/>
        </w:rPr>
        <w:t>are understood</w:t>
      </w:r>
    </w:p>
    <w:p>
      <w:pPr>
        <w:pStyle w:val="NoSpacing"/>
        <w:numPr>
          <w:ilvl w:val="0"/>
          <w:numId w:val="23"/>
        </w:numPr>
        <w:ind w:hanging="357" w:left="357"/>
        <w:rPr>
          <w:rFonts w:ascii="FreeSerif" w:hAnsi="FreeSerif"/>
        </w:rPr>
      </w:pPr>
      <w:r>
        <w:rPr>
          <w:rFonts w:ascii="FreeSerif" w:hAnsi="FreeSerif"/>
        </w:rPr>
        <w:t>The correct processes for storage, transmission and use are followed during the data’s life cycle</w:t>
      </w:r>
    </w:p>
    <w:p>
      <w:pPr>
        <w:pStyle w:val="NoSpacing"/>
        <w:numPr>
          <w:ilvl w:val="0"/>
          <w:numId w:val="23"/>
        </w:numPr>
        <w:ind w:hanging="357" w:left="357"/>
        <w:rPr>
          <w:rFonts w:ascii="FreeSerif" w:hAnsi="FreeSerif"/>
        </w:rPr>
      </w:pPr>
      <w:r>
        <w:rPr>
          <w:rFonts w:ascii="FreeSerif" w:hAnsi="FreeSerif"/>
        </w:rPr>
        <w:t>Report data breaches to the Group Risk Committee</w:t>
      </w:r>
    </w:p>
    <w:p>
      <w:pPr>
        <w:pStyle w:val="NoSpacing"/>
        <w:rPr>
          <w:rFonts w:ascii="FreeSerif" w:hAnsi="FreeSerif"/>
        </w:rPr>
      </w:pPr>
      <w:r>
        <w:rPr>
          <w:rFonts w:ascii="FreeSerif" w:hAnsi="FreeSerif"/>
        </w:rPr>
      </w:r>
    </w:p>
    <w:p>
      <w:pPr>
        <w:pStyle w:val="NoSpacing"/>
        <w:rPr>
          <w:rFonts w:ascii="FreeSerif" w:hAnsi="FreeSerif"/>
        </w:rPr>
      </w:pPr>
      <w:r>
        <w:rPr>
          <w:rFonts w:cs="Calibri" w:ascii="FreeSerif" w:hAnsi="FreeSerif" w:cstheme="minorHAnsi"/>
          <w:b/>
          <w:bCs/>
        </w:rPr>
        <w:t xml:space="preserve">The Group Executive and </w:t>
      </w:r>
      <w:r>
        <w:rPr>
          <w:rFonts w:ascii="FreeSerif" w:hAnsi="FreeSerif"/>
          <w:b/>
          <w:bCs/>
        </w:rPr>
        <w:t>Boards are responsible for:</w:t>
      </w:r>
    </w:p>
    <w:p>
      <w:pPr>
        <w:pStyle w:val="NoSpacing"/>
        <w:numPr>
          <w:ilvl w:val="0"/>
          <w:numId w:val="23"/>
        </w:numPr>
        <w:ind w:hanging="357" w:left="357"/>
        <w:rPr>
          <w:rFonts w:ascii="FreeSerif" w:hAnsi="FreeSerif"/>
        </w:rPr>
      </w:pPr>
      <w:r>
        <w:rPr>
          <w:rFonts w:ascii="FreeSerif" w:hAnsi="FreeSerif"/>
        </w:rPr>
        <w:t>Ensuring that the business is appropriately resourced to implement the processes set out in this policy.</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b/>
          <w:bCs/>
        </w:rPr>
        <w:t>The Group Risk Committee is responsible for:</w:t>
      </w:r>
    </w:p>
    <w:p>
      <w:pPr>
        <w:pStyle w:val="NoSpacing"/>
        <w:numPr>
          <w:ilvl w:val="0"/>
          <w:numId w:val="21"/>
        </w:numPr>
        <w:ind w:hanging="357" w:left="357"/>
        <w:rPr>
          <w:rFonts w:ascii="FreeSerif" w:hAnsi="FreeSerif"/>
        </w:rPr>
      </w:pPr>
      <w:r>
        <w:rPr>
          <w:rFonts w:ascii="FreeSerif" w:hAnsi="FreeSerif"/>
        </w:rPr>
        <w:t>Reviewing the effectiveness of arrangements to identify and manage sensitive data classifications as determined by data owners</w:t>
      </w:r>
    </w:p>
    <w:p>
      <w:pPr>
        <w:pStyle w:val="NoSpacing"/>
        <w:numPr>
          <w:ilvl w:val="0"/>
          <w:numId w:val="21"/>
        </w:numPr>
        <w:ind w:hanging="357" w:left="357"/>
        <w:rPr>
          <w:rFonts w:ascii="FreeSerif" w:hAnsi="FreeSerif"/>
        </w:rPr>
      </w:pPr>
      <w:r>
        <w:rPr>
          <w:rFonts w:ascii="FreeSerif" w:hAnsi="FreeSerif"/>
        </w:rPr>
        <w:t>Reviewing and challenging reports on sensitive data security breaches and proposed actions to address these breaches and to prevent recurrence.</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b/>
          <w:bCs/>
        </w:rPr>
        <w:t>The Director of Technology, assisted by the Succession Technology team is responsible for:</w:t>
      </w:r>
    </w:p>
    <w:p>
      <w:pPr>
        <w:pStyle w:val="NoSpacing"/>
        <w:numPr>
          <w:ilvl w:val="0"/>
          <w:numId w:val="20"/>
        </w:numPr>
        <w:ind w:hanging="357" w:left="357"/>
        <w:rPr>
          <w:rFonts w:ascii="FreeSerif" w:hAnsi="FreeSerif"/>
        </w:rPr>
      </w:pPr>
      <w:r>
        <w:rPr>
          <w:rFonts w:ascii="FreeSerif" w:hAnsi="FreeSerif"/>
        </w:rPr>
        <w:t>Providing the Group Executive and Boards with reports on data breaches</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b/>
          <w:bCs/>
        </w:rPr>
        <w:t>Third Parties are responsible for:</w:t>
      </w:r>
    </w:p>
    <w:p>
      <w:pPr>
        <w:pStyle w:val="NoSpacing"/>
        <w:numPr>
          <w:ilvl w:val="0"/>
          <w:numId w:val="19"/>
        </w:numPr>
        <w:ind w:hanging="357" w:left="357"/>
        <w:rPr>
          <w:rFonts w:ascii="FreeSerif" w:hAnsi="FreeSerif"/>
        </w:rPr>
      </w:pPr>
      <w:r>
        <w:rPr>
          <w:rFonts w:ascii="FreeSerif" w:hAnsi="FreeSerif"/>
        </w:rPr>
        <w:t>Adhering to these prescribed storage, transmission and processing measures based on the sensitivity classification of data owned by [company].</w:t>
      </w:r>
    </w:p>
    <w:p>
      <w:pPr>
        <w:pStyle w:val="Normal"/>
        <w:jc w:val="both"/>
        <w:rPr>
          <w:rFonts w:ascii="FreeSerif" w:hAnsi="FreeSerif"/>
          <w:sz w:val="8"/>
          <w:szCs w:val="8"/>
        </w:rPr>
      </w:pPr>
      <w:r>
        <w:rPr>
          <w:rFonts w:ascii="FreeSerif" w:hAnsi="FreeSerif"/>
          <w:sz w:val="8"/>
          <w:szCs w:val="8"/>
        </w:rPr>
      </w:r>
    </w:p>
    <w:p>
      <w:pPr>
        <w:pStyle w:val="Normal"/>
        <w:jc w:val="both"/>
        <w:rPr>
          <w:rFonts w:ascii="FreeSerif" w:hAnsi="FreeSerif" w:cs="Calibri" w:cstheme="minorHAnsi"/>
          <w:color w:val="FF0000"/>
          <w:sz w:val="24"/>
          <w:szCs w:val="24"/>
        </w:rPr>
      </w:pPr>
      <w:r>
        <w:rPr>
          <w:rFonts w:cs="Calibri" w:cstheme="minorHAnsi" w:ascii="FreeSerif" w:hAnsi="FreeSerif"/>
          <w:color w:val="FF0000"/>
          <w:sz w:val="24"/>
          <w:szCs w:val="24"/>
        </w:rPr>
      </w:r>
    </w:p>
    <w:p>
      <w:pPr>
        <w:pStyle w:val="Heading2"/>
        <w:numPr>
          <w:ilvl w:val="1"/>
          <w:numId w:val="24"/>
        </w:numPr>
        <w:rPr>
          <w:rFonts w:ascii="FreeSerif" w:hAnsi="FreeSerif"/>
        </w:rPr>
      </w:pPr>
      <w:r>
        <w:rPr>
          <w:rFonts w:ascii="FreeSerif" w:hAnsi="FreeSerif"/>
        </w:rPr>
        <w:t>Policy Application</w:t>
      </w:r>
    </w:p>
    <w:p>
      <w:pPr>
        <w:pStyle w:val="NoSpacing"/>
        <w:rPr/>
      </w:pPr>
      <w:r>
        <w:rPr>
          <w:rFonts w:cs="Calibri" w:ascii="FreeSerif" w:hAnsi="FreeSerif" w:cstheme="minorHAnsi"/>
          <w:szCs w:val="24"/>
        </w:rPr>
        <w:t xml:space="preserve">Refer to the Policy Application in the document </w:t>
      </w:r>
      <w:hyperlink r:id="rId2">
        <w:r>
          <w:rPr>
            <w:rStyle w:val="Hyperlink"/>
            <w:rFonts w:cs="Arial" w:ascii="FreeSerif" w:hAnsi="FreeSerif"/>
            <w:color w:themeColor="text1" w:val="000000"/>
            <w:szCs w:val="24"/>
            <w:shd w:fill="FFFFFF" w:val="clear"/>
          </w:rPr>
          <w:t>Information Security Policy</w:t>
        </w:r>
      </w:hyperlink>
      <w:r>
        <w:rPr>
          <w:rFonts w:ascii="FreeSerif" w:hAnsi="FreeSerif"/>
          <w:shd w:fill="FFFFFF" w:val="clear"/>
        </w:rPr>
        <w:t xml:space="preserve"> [Ref. 1].</w:t>
      </w:r>
    </w:p>
    <w:p>
      <w:pPr>
        <w:pStyle w:val="Normal"/>
        <w:jc w:val="both"/>
        <w:rPr>
          <w:rFonts w:ascii="FreeSerif" w:hAnsi="FreeSerif" w:cs="Calibri" w:cstheme="minorHAnsi"/>
          <w:color w:val="FF0000"/>
          <w:sz w:val="24"/>
          <w:szCs w:val="24"/>
        </w:rPr>
      </w:pPr>
      <w:r>
        <w:rPr>
          <w:rFonts w:cs="Calibri" w:cstheme="minorHAnsi" w:ascii="FreeSerif" w:hAnsi="FreeSerif"/>
          <w:color w:val="FF0000"/>
          <w:sz w:val="24"/>
          <w:szCs w:val="24"/>
        </w:rPr>
      </w:r>
    </w:p>
    <w:p>
      <w:pPr>
        <w:pStyle w:val="Heading2"/>
        <w:numPr>
          <w:ilvl w:val="1"/>
          <w:numId w:val="24"/>
        </w:numPr>
        <w:rPr>
          <w:rFonts w:ascii="FreeSerif" w:hAnsi="FreeSerif"/>
        </w:rPr>
      </w:pPr>
      <w:r>
        <w:rPr>
          <w:rFonts w:ascii="FreeSerif" w:hAnsi="FreeSerif"/>
        </w:rPr>
        <w:t>Monitoring, Testing, Reporting, and Measurement of Effectiveness</w:t>
      </w:r>
    </w:p>
    <w:p>
      <w:pPr>
        <w:pStyle w:val="NoSpacing"/>
        <w:rPr>
          <w:rFonts w:ascii="FreeSerif" w:hAnsi="FreeSerif"/>
        </w:rPr>
      </w:pPr>
      <w:r>
        <w:rPr>
          <w:rFonts w:ascii="FreeSerif" w:hAnsi="FreeSerif"/>
        </w:rPr>
        <w:t>Assurance activity will be undertaken by Risk &amp; Compliance and /or by appropriately qualified third parties. The results of assurance activities will be shared with the Executive and, where appropriate, Boards and the Group Risk Committee.</w:t>
      </w:r>
    </w:p>
    <w:p>
      <w:pPr>
        <w:pStyle w:val="NoSpacing"/>
        <w:rPr>
          <w:rFonts w:ascii="FreeSerif" w:hAnsi="FreeSerif"/>
        </w:rPr>
      </w:pPr>
      <w:r>
        <w:rPr>
          <w:rFonts w:ascii="FreeSerif" w:hAnsi="FreeSerif"/>
        </w:rPr>
      </w:r>
    </w:p>
    <w:p>
      <w:pPr>
        <w:pStyle w:val="NoSpacing"/>
        <w:rPr>
          <w:rFonts w:ascii="FreeSerif" w:hAnsi="FreeSerif"/>
        </w:rPr>
      </w:pPr>
      <w:r>
        <w:rPr>
          <w:rFonts w:ascii="FreeSerif" w:hAnsi="FreeSerif"/>
        </w:rPr>
        <w:t>Effectiveness will be measured through:</w:t>
      </w:r>
    </w:p>
    <w:p>
      <w:pPr>
        <w:pStyle w:val="NoSpacing"/>
        <w:numPr>
          <w:ilvl w:val="0"/>
          <w:numId w:val="19"/>
        </w:numPr>
        <w:ind w:hanging="357" w:left="357"/>
        <w:rPr>
          <w:rFonts w:ascii="FreeSerif" w:hAnsi="FreeSerif"/>
        </w:rPr>
      </w:pPr>
      <w:r>
        <w:rPr>
          <w:rFonts w:ascii="FreeSerif" w:hAnsi="FreeSerif"/>
        </w:rPr>
        <w:t>Regular first line monitoring of adherence to the Policy and Framework.</w:t>
      </w:r>
    </w:p>
    <w:p>
      <w:pPr>
        <w:pStyle w:val="NoSpacing"/>
        <w:numPr>
          <w:ilvl w:val="0"/>
          <w:numId w:val="19"/>
        </w:numPr>
        <w:ind w:hanging="357" w:left="357"/>
        <w:rPr>
          <w:rFonts w:ascii="FreeSerif" w:hAnsi="FreeSerif"/>
        </w:rPr>
      </w:pPr>
      <w:r>
        <w:rPr>
          <w:rFonts w:ascii="FreeSerif" w:hAnsi="FreeSerif"/>
        </w:rPr>
        <w:t>Regular review of MI by the Boards, Executive Committee, and Group Risk committee.</w:t>
      </w:r>
    </w:p>
    <w:p>
      <w:pPr>
        <w:pStyle w:val="NoSpacing"/>
        <w:numPr>
          <w:ilvl w:val="0"/>
          <w:numId w:val="19"/>
        </w:numPr>
        <w:ind w:hanging="357" w:left="357"/>
        <w:rPr>
          <w:rFonts w:ascii="FreeSerif" w:hAnsi="FreeSerif"/>
        </w:rPr>
      </w:pPr>
      <w:r>
        <w:rPr>
          <w:rFonts w:ascii="FreeSerif" w:hAnsi="FreeSerif"/>
        </w:rPr>
        <w:t>The review of any risk events, service and performance issues about information security arrangements by the Group Risk Committee and other relevant forums will be used to consider any changes to the controls, Policy and/or Framework.</w:t>
      </w:r>
    </w:p>
    <w:p>
      <w:pPr>
        <w:pStyle w:val="NoSpacing"/>
        <w:numPr>
          <w:ilvl w:val="0"/>
          <w:numId w:val="19"/>
        </w:numPr>
        <w:ind w:hanging="357" w:left="357"/>
        <w:rPr>
          <w:rFonts w:ascii="FreeSerif" w:hAnsi="FreeSerif"/>
        </w:rPr>
      </w:pPr>
      <w:r>
        <w:rPr>
          <w:rFonts w:ascii="FreeSerif" w:hAnsi="FreeSerif"/>
        </w:rPr>
        <w:t>Ensuring a continuous yearly Cyber Essentials accreditation to maintain and improve cyber security encompassing infrastructure, systems and remote working to mitigate the risk from common cyber threats</w:t>
      </w:r>
    </w:p>
    <w:p>
      <w:pPr>
        <w:pStyle w:val="Normal"/>
        <w:jc w:val="both"/>
        <w:rPr>
          <w:rFonts w:ascii="FreeSerif" w:hAnsi="FreeSerif" w:cs="Calibri" w:cstheme="minorHAnsi"/>
          <w:color w:val="FF0000"/>
          <w:sz w:val="24"/>
          <w:szCs w:val="24"/>
        </w:rPr>
      </w:pPr>
      <w:r>
        <w:rPr>
          <w:rFonts w:cs="Calibri" w:cstheme="minorHAnsi" w:ascii="FreeSerif" w:hAnsi="FreeSerif"/>
          <w:color w:val="FF0000"/>
          <w:sz w:val="24"/>
          <w:szCs w:val="24"/>
        </w:rPr>
      </w:r>
    </w:p>
    <w:p>
      <w:pPr>
        <w:pStyle w:val="Heading2"/>
        <w:numPr>
          <w:ilvl w:val="1"/>
          <w:numId w:val="24"/>
        </w:numPr>
        <w:rPr>
          <w:rFonts w:ascii="FreeSerif" w:hAnsi="FreeSerif"/>
        </w:rPr>
      </w:pPr>
      <w:r>
        <w:rPr>
          <w:rFonts w:ascii="FreeSerif" w:hAnsi="FreeSerif"/>
        </w:rPr>
        <w:t>Breaches</w:t>
      </w:r>
    </w:p>
    <w:p>
      <w:pPr>
        <w:pStyle w:val="NoSpacing"/>
        <w:rPr>
          <w:rFonts w:ascii="FreeSerif" w:hAnsi="FreeSerif"/>
        </w:rPr>
      </w:pPr>
      <w:r>
        <w:rPr>
          <w:rFonts w:ascii="FreeSerif" w:hAnsi="FreeSerif"/>
        </w:rPr>
        <w:t>Any Breach of this policy will be treated as serious and may result in disciplinary action. Breaches of the policy must be reported following the Risk Event reporting process.</w:t>
      </w:r>
    </w:p>
    <w:p>
      <w:pPr>
        <w:pStyle w:val="Normal"/>
        <w:jc w:val="both"/>
        <w:rPr>
          <w:rFonts w:ascii="FreeSerif" w:hAnsi="FreeSerif" w:cs="Calibri" w:cstheme="minorHAnsi"/>
          <w:color w:val="FF0000"/>
          <w:sz w:val="24"/>
          <w:szCs w:val="24"/>
        </w:rPr>
      </w:pPr>
      <w:r>
        <w:rPr>
          <w:rFonts w:cs="Calibri" w:cstheme="minorHAnsi" w:ascii="FreeSerif" w:hAnsi="FreeSerif"/>
          <w:color w:val="FF0000"/>
          <w:sz w:val="24"/>
          <w:szCs w:val="24"/>
        </w:rPr>
      </w:r>
    </w:p>
    <w:p>
      <w:pPr>
        <w:pStyle w:val="Heading1"/>
        <w:numPr>
          <w:ilvl w:val="0"/>
          <w:numId w:val="24"/>
        </w:numPr>
        <w:rPr>
          <w:rFonts w:ascii="FreeSerif" w:hAnsi="FreeSerif"/>
        </w:rPr>
      </w:pPr>
      <w:r>
        <w:rPr>
          <w:rFonts w:ascii="FreeSerif" w:hAnsi="FreeSerif"/>
        </w:rPr>
        <w:t>DATA CLASSIFICATIONS</w:t>
      </w:r>
    </w:p>
    <w:p>
      <w:pPr>
        <w:pStyle w:val="Heading2"/>
        <w:numPr>
          <w:ilvl w:val="1"/>
          <w:numId w:val="24"/>
        </w:numPr>
        <w:rPr>
          <w:rFonts w:ascii="FreeSerif" w:hAnsi="FreeSerif"/>
        </w:rPr>
      </w:pPr>
      <w:r>
        <w:rPr>
          <w:rFonts w:ascii="FreeSerif" w:hAnsi="FreeSerif"/>
        </w:rPr>
        <w:t xml:space="preserve">Classification </w:t>
      </w:r>
      <w:r>
        <w:rPr>
          <w:rFonts w:ascii="FreeSerif" w:hAnsi="FreeSerif"/>
        </w:rPr>
        <w:t>PUBLIC</w:t>
      </w:r>
      <w:r>
        <w:rPr>
          <w:rFonts w:ascii="FreeSerif" w:hAnsi="FreeSerif"/>
        </w:rPr>
        <w:t>:  Public Data</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auto" w:val="clear"/>
          </w:tcPr>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Description:</w:t>
            </w:r>
          </w:p>
          <w:p>
            <w:pPr>
              <w:pStyle w:val="Normal"/>
              <w:widowControl/>
              <w:suppressAutoHyphens w:val="true"/>
              <w:spacing w:lineRule="auto" w:line="276" w:before="0" w:after="0"/>
              <w:ind w:hanging="0" w:left="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 xml:space="preserve">This data may be freely disseminated outside the organisation without potential harm. </w:t>
            </w:r>
          </w:p>
          <w:p>
            <w:pPr>
              <w:pStyle w:val="Normal"/>
              <w:widowControl/>
              <w:suppressAutoHyphens w:val="true"/>
              <w:spacing w:lineRule="auto" w:line="276" w:before="0" w:after="0"/>
              <w:ind w:hanging="0" w:left="0"/>
              <w:jc w:val="both"/>
              <w:rPr>
                <w:rFonts w:ascii="FreeSerif" w:hAnsi="FreeSerif" w:eastAsia="Calibri" w:cs="Arial"/>
                <w:kern w:val="0"/>
                <w:sz w:val="22"/>
                <w:szCs w:val="22"/>
                <w:lang w:val="en-GB" w:eastAsia="en-US" w:bidi="ar-SA"/>
              </w:rPr>
            </w:pPr>
            <w:r>
              <w:rPr>
                <w:rFonts w:eastAsia="Times New Roman" w:cs="Calibri" w:ascii="FreeSerif" w:hAnsi="FreeSerif"/>
                <w:b/>
                <w:bCs/>
                <w:kern w:val="0"/>
                <w:sz w:val="24"/>
                <w:szCs w:val="24"/>
                <w:lang w:val="en-GB" w:eastAsia="en-US" w:bidi="ar-SA"/>
              </w:rPr>
              <w:t>Examples:</w:t>
            </w:r>
            <w:r>
              <w:rPr>
                <w:rFonts w:eastAsia="Times New Roman" w:cs="Calibri" w:ascii="FreeSerif" w:hAnsi="FreeSerif"/>
                <w:bCs/>
                <w:kern w:val="0"/>
                <w:sz w:val="24"/>
                <w:szCs w:val="24"/>
                <w:lang w:val="en-GB" w:eastAsia="en-US" w:bidi="ar-SA"/>
              </w:rPr>
              <w:t xml:space="preserve"> </w:t>
            </w:r>
          </w:p>
          <w:p>
            <w:pPr>
              <w:pStyle w:val="Normal"/>
              <w:widowControl/>
              <w:numPr>
                <w:ilvl w:val="0"/>
                <w:numId w:val="2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w:t>
            </w:r>
            <w:r>
              <w:rPr>
                <w:rFonts w:eastAsia="Times New Roman" w:cs="Calibri" w:ascii="FreeSerif" w:hAnsi="FreeSerif"/>
                <w:bCs/>
                <w:kern w:val="0"/>
                <w:sz w:val="24"/>
                <w:szCs w:val="24"/>
                <w:lang w:val="en-GB" w:eastAsia="en-US" w:bidi="ar-SA"/>
              </w:rPr>
              <w:t>roduct and service brochures</w:t>
            </w:r>
          </w:p>
          <w:p>
            <w:pPr>
              <w:pStyle w:val="Normal"/>
              <w:widowControl/>
              <w:numPr>
                <w:ilvl w:val="0"/>
                <w:numId w:val="2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w:t>
            </w:r>
            <w:r>
              <w:rPr>
                <w:rFonts w:eastAsia="Times New Roman" w:cs="Calibri" w:ascii="FreeSerif" w:hAnsi="FreeSerif"/>
                <w:bCs/>
                <w:kern w:val="0"/>
                <w:sz w:val="24"/>
                <w:szCs w:val="24"/>
                <w:lang w:val="en-GB" w:eastAsia="en-US" w:bidi="ar-SA"/>
              </w:rPr>
              <w:t>dvertisements</w:t>
            </w:r>
          </w:p>
          <w:p>
            <w:pPr>
              <w:pStyle w:val="Normal"/>
              <w:widowControl/>
              <w:numPr>
                <w:ilvl w:val="0"/>
                <w:numId w:val="2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J</w:t>
            </w:r>
            <w:r>
              <w:rPr>
                <w:rFonts w:eastAsia="Times New Roman" w:cs="Calibri" w:ascii="FreeSerif" w:hAnsi="FreeSerif"/>
                <w:bCs/>
                <w:kern w:val="0"/>
                <w:sz w:val="24"/>
                <w:szCs w:val="24"/>
                <w:lang w:val="en-GB" w:eastAsia="en-US" w:bidi="ar-SA"/>
              </w:rPr>
              <w:t>ob opening announcements</w:t>
            </w:r>
          </w:p>
          <w:p>
            <w:pPr>
              <w:pStyle w:val="Normal"/>
              <w:widowControl/>
              <w:numPr>
                <w:ilvl w:val="0"/>
                <w:numId w:val="2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Approved for public released</w:t>
            </w:r>
          </w:p>
          <w:p>
            <w:pPr>
              <w:pStyle w:val="Normal"/>
              <w:widowControl/>
              <w:numPr>
                <w:ilvl w:val="0"/>
                <w:numId w:val="2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Already available from public records</w:t>
            </w:r>
          </w:p>
          <w:p>
            <w:pPr>
              <w:pStyle w:val="Normal"/>
              <w:widowControl/>
              <w:numPr>
                <w:ilvl w:val="0"/>
                <w:numId w:val="2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w:t>
            </w:r>
            <w:r>
              <w:rPr>
                <w:rFonts w:eastAsia="Times New Roman" w:cs="Calibri" w:ascii="FreeSerif" w:hAnsi="FreeSerif"/>
                <w:bCs/>
                <w:kern w:val="0"/>
                <w:sz w:val="24"/>
                <w:szCs w:val="24"/>
                <w:lang w:val="en-GB" w:eastAsia="en-US" w:bidi="ar-SA"/>
              </w:rPr>
              <w:t>ress releases</w:t>
            </w:r>
          </w:p>
          <w:p>
            <w:pPr>
              <w:pStyle w:val="Normal"/>
              <w:widowControl/>
              <w:suppressAutoHyphens w:val="true"/>
              <w:spacing w:lineRule="auto" w:line="276" w:before="0" w:after="0"/>
              <w:ind w:hanging="0" w:left="0"/>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Accessible by:</w:t>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Available to the general public and for distribution outside of [company]</w:t>
            </w:r>
          </w:p>
          <w:p>
            <w:pPr>
              <w:pStyle w:val="Normal"/>
              <w:widowControl/>
              <w:suppressAutoHyphens w:val="true"/>
              <w:spacing w:lineRule="auto" w:line="276" w:before="0" w:after="0"/>
              <w:ind w:hanging="357" w:left="357"/>
              <w:jc w:val="both"/>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Breach Impact:</w:t>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None.</w:t>
            </w:r>
          </w:p>
          <w:p>
            <w:pPr>
              <w:pStyle w:val="Normal"/>
              <w:widowControl/>
              <w:suppressAutoHyphens w:val="true"/>
              <w:spacing w:lineRule="auto" w:line="276" w:before="0" w:after="0"/>
              <w:ind w:hanging="357" w:left="357"/>
              <w:jc w:val="both"/>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Network Data Transfer Policy:</w:t>
            </w:r>
          </w:p>
          <w:p>
            <w:pPr>
              <w:pStyle w:val="Normal"/>
              <w:widowControl/>
              <w:numPr>
                <w:ilvl w:val="0"/>
                <w:numId w:val="2"/>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No special handling required</w:t>
            </w:r>
          </w:p>
          <w:p>
            <w:pPr>
              <w:pStyle w:val="Normal"/>
              <w:widowControl/>
              <w:numPr>
                <w:ilvl w:val="0"/>
                <w:numId w:val="2"/>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External accounts: No special handling required</w:t>
            </w:r>
          </w:p>
          <w:p>
            <w:pPr>
              <w:pStyle w:val="Normal"/>
              <w:widowControl/>
              <w:numPr>
                <w:ilvl w:val="0"/>
                <w:numId w:val="2"/>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Internal accounts: No special handling required</w:t>
            </w:r>
          </w:p>
          <w:p>
            <w:pPr>
              <w:pStyle w:val="Normal"/>
              <w:widowControl/>
              <w:suppressAutoHyphens w:val="true"/>
              <w:spacing w:lineRule="auto" w:line="276" w:before="0" w:after="0"/>
              <w:ind w:hanging="357" w:left="357"/>
              <w:jc w:val="both"/>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Transfer via removable storage devices:</w:t>
            </w:r>
          </w:p>
          <w:p>
            <w:pPr>
              <w:pStyle w:val="Normal"/>
              <w:widowControl/>
              <w:numPr>
                <w:ilvl w:val="0"/>
                <w:numId w:val="3"/>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No special handling required</w:t>
            </w:r>
          </w:p>
          <w:p>
            <w:pPr>
              <w:pStyle w:val="Normal"/>
              <w:widowControl/>
              <w:suppressAutoHyphens w:val="true"/>
              <w:spacing w:lineRule="auto" w:line="276" w:before="0" w:after="0"/>
              <w:ind w:hanging="357" w:left="357"/>
              <w:jc w:val="both"/>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Storage:</w:t>
            </w:r>
          </w:p>
          <w:p>
            <w:pPr>
              <w:pStyle w:val="Normal"/>
              <w:widowControl/>
              <w:numPr>
                <w:ilvl w:val="0"/>
                <w:numId w:val="4"/>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All digital data: No special handling required</w:t>
            </w:r>
          </w:p>
          <w:p>
            <w:pPr>
              <w:pStyle w:val="Normal"/>
              <w:widowControl/>
              <w:numPr>
                <w:ilvl w:val="0"/>
                <w:numId w:val="4"/>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No special handling required</w:t>
            </w:r>
          </w:p>
          <w:p>
            <w:pPr>
              <w:pStyle w:val="Normal"/>
              <w:widowControl/>
              <w:suppressAutoHyphens w:val="true"/>
              <w:spacing w:lineRule="auto" w:line="276" w:before="0" w:after="0"/>
              <w:ind w:hanging="357" w:left="357"/>
              <w:jc w:val="both"/>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Disposal:</w:t>
            </w:r>
          </w:p>
          <w:p>
            <w:pPr>
              <w:pStyle w:val="Normal"/>
              <w:widowControl/>
              <w:numPr>
                <w:ilvl w:val="0"/>
                <w:numId w:val="5"/>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All digital data: No special handling required</w:t>
            </w:r>
          </w:p>
          <w:p>
            <w:pPr>
              <w:pStyle w:val="Normal"/>
              <w:widowControl/>
              <w:numPr>
                <w:ilvl w:val="0"/>
                <w:numId w:val="5"/>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No special handling required</w:t>
            </w:r>
          </w:p>
          <w:p>
            <w:pPr>
              <w:pStyle w:val="Normal"/>
              <w:widowControl/>
              <w:suppressAutoHyphens w:val="true"/>
              <w:spacing w:before="0" w:after="0"/>
              <w:ind w:hanging="357" w:left="357"/>
              <w:jc w:val="left"/>
              <w:rPr>
                <w:rFonts w:ascii="FreeSerif" w:hAnsi="FreeSerif" w:eastAsia="Calibri" w:cs="Calibri" w:cstheme="minorHAnsi"/>
                <w:b/>
                <w:kern w:val="0"/>
                <w:sz w:val="24"/>
                <w:szCs w:val="24"/>
                <w:lang w:val="en-GB" w:eastAsia="en-US" w:bidi="ar-SA"/>
              </w:rPr>
            </w:pPr>
            <w:r>
              <w:rPr>
                <w:rFonts w:eastAsia="Calibri" w:cs="Calibri" w:cstheme="minorHAnsi" w:ascii="FreeSerif" w:hAnsi="FreeSerif"/>
                <w:b/>
                <w:kern w:val="0"/>
                <w:sz w:val="24"/>
                <w:szCs w:val="24"/>
                <w:lang w:val="en-GB" w:eastAsia="en-US" w:bidi="ar-SA"/>
              </w:rPr>
            </w:r>
          </w:p>
        </w:tc>
      </w:tr>
    </w:tbl>
    <w:p>
      <w:pPr>
        <w:pStyle w:val="Normal"/>
        <w:spacing w:lineRule="auto" w:line="276"/>
        <w:jc w:val="both"/>
        <w:rPr>
          <w:rFonts w:ascii="FreeSerif" w:hAnsi="FreeSerif"/>
          <w:b/>
        </w:rPr>
      </w:pPr>
      <w:r>
        <w:rPr>
          <w:rFonts w:ascii="FreeSerif" w:hAnsi="FreeSerif"/>
          <w:b/>
        </w:rPr>
      </w:r>
      <w:bookmarkStart w:id="0" w:name="_Hlk19182173"/>
      <w:bookmarkStart w:id="1" w:name="_Hlk19182173"/>
      <w:bookmarkEnd w:id="1"/>
    </w:p>
    <w:p>
      <w:pPr>
        <w:pStyle w:val="Heading2"/>
        <w:numPr>
          <w:ilvl w:val="1"/>
          <w:numId w:val="24"/>
        </w:numPr>
        <w:rPr>
          <w:rFonts w:ascii="FreeSerif" w:hAnsi="FreeSerif"/>
        </w:rPr>
      </w:pPr>
      <w:r>
        <w:rPr>
          <w:rFonts w:ascii="FreeSerif" w:hAnsi="FreeSerif"/>
        </w:rPr>
        <w:t xml:space="preserve">Classification RESTRICTED: </w:t>
      </w:r>
      <w:r>
        <w:rPr>
          <w:rFonts w:ascii="FreeSerif" w:hAnsi="FreeSerif"/>
        </w:rPr>
        <w:t>Internal Data</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auto" w:val="clear"/>
          </w:tcPr>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Description:</w:t>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This classification applies to all other data that does not fit into the other classifications.</w:t>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
          </w:p>
          <w:p>
            <w:pPr>
              <w:pStyle w:val="Normal"/>
              <w:widowControl/>
              <w:suppressAutoHyphens w:val="true"/>
              <w:spacing w:lineRule="auto" w:line="276" w:before="0" w:after="0"/>
              <w:ind w:hanging="357" w:left="357"/>
              <w:jc w:val="both"/>
              <w:rPr>
                <w:b/>
                <w:bCs/>
              </w:rPr>
            </w:pPr>
            <w:r>
              <w:rPr>
                <w:rFonts w:eastAsia="Calibri" w:cs="Arial" w:ascii="FreeSerif" w:hAnsi="FreeSerif"/>
                <w:b/>
                <w:bCs/>
                <w:kern w:val="0"/>
                <w:sz w:val="22"/>
                <w:szCs w:val="22"/>
                <w:lang w:val="en-GB" w:eastAsia="en-US" w:bidi="ar-SA"/>
              </w:rPr>
              <w:t>Examples:</w:t>
            </w:r>
          </w:p>
          <w:p>
            <w:pPr>
              <w:pStyle w:val="Normal"/>
              <w:widowControl/>
              <w:numPr>
                <w:ilvl w:val="0"/>
                <w:numId w:val="26"/>
              </w:numPr>
              <w:suppressAutoHyphens w:val="true"/>
              <w:spacing w:lineRule="auto" w:line="276" w:before="0" w:after="0"/>
              <w:jc w:val="both"/>
              <w:rPr>
                <w:b w:val="false"/>
                <w:bCs w:val="false"/>
              </w:rPr>
            </w:pPr>
            <w:r>
              <w:rPr>
                <w:rFonts w:eastAsia="Calibri" w:cs="Arial" w:ascii="FreeSerif" w:hAnsi="FreeSerif"/>
                <w:b w:val="false"/>
                <w:bCs w:val="false"/>
                <w:kern w:val="0"/>
                <w:sz w:val="22"/>
                <w:szCs w:val="22"/>
                <w:lang w:val="en-GB" w:eastAsia="en-US" w:bidi="ar-SA"/>
              </w:rPr>
              <w:t>Instruction packs</w:t>
            </w:r>
          </w:p>
          <w:p>
            <w:pPr>
              <w:pStyle w:val="Normal"/>
              <w:widowControl/>
              <w:numPr>
                <w:ilvl w:val="0"/>
                <w:numId w:val="26"/>
              </w:numPr>
              <w:suppressAutoHyphens w:val="true"/>
              <w:spacing w:lineRule="auto" w:line="276" w:before="0" w:after="0"/>
              <w:jc w:val="both"/>
              <w:rPr>
                <w:b w:val="false"/>
                <w:bCs w:val="false"/>
              </w:rPr>
            </w:pPr>
            <w:r>
              <w:rPr>
                <w:rFonts w:eastAsia="Calibri" w:cs="Arial" w:ascii="FreeSerif" w:hAnsi="FreeSerif"/>
                <w:b w:val="false"/>
                <w:bCs w:val="false"/>
                <w:kern w:val="0"/>
                <w:sz w:val="22"/>
                <w:szCs w:val="22"/>
                <w:lang w:val="en-GB" w:eastAsia="en-US" w:bidi="ar-SA"/>
              </w:rPr>
              <w:t>Training guides</w:t>
            </w:r>
          </w:p>
          <w:p>
            <w:pPr>
              <w:pStyle w:val="Normal"/>
              <w:widowControl/>
              <w:numPr>
                <w:ilvl w:val="0"/>
                <w:numId w:val="26"/>
              </w:numPr>
              <w:suppressAutoHyphens w:val="true"/>
              <w:spacing w:lineRule="auto" w:line="276" w:before="0" w:after="0"/>
              <w:jc w:val="both"/>
              <w:rPr>
                <w:b w:val="false"/>
                <w:bCs w:val="false"/>
              </w:rPr>
            </w:pPr>
            <w:r>
              <w:rPr>
                <w:rFonts w:eastAsia="Calibri" w:cs="Arial" w:ascii="FreeSerif" w:hAnsi="FreeSerif"/>
                <w:b w:val="false"/>
                <w:bCs w:val="false"/>
                <w:kern w:val="0"/>
                <w:sz w:val="22"/>
                <w:szCs w:val="22"/>
                <w:lang w:val="en-GB" w:eastAsia="en-US" w:bidi="ar-SA"/>
              </w:rPr>
              <w:t>Intranet pages</w:t>
            </w:r>
          </w:p>
          <w:p>
            <w:pPr>
              <w:pStyle w:val="Normal"/>
              <w:widowControl/>
              <w:numPr>
                <w:ilvl w:val="0"/>
                <w:numId w:val="26"/>
              </w:numPr>
              <w:suppressAutoHyphens w:val="true"/>
              <w:spacing w:lineRule="auto" w:line="276" w:before="0" w:after="0"/>
              <w:jc w:val="both"/>
              <w:rPr>
                <w:b w:val="false"/>
                <w:bCs w:val="false"/>
              </w:rPr>
            </w:pPr>
            <w:r>
              <w:rPr>
                <w:rFonts w:eastAsia="Calibri" w:cs="Arial" w:ascii="FreeSerif" w:hAnsi="FreeSerif"/>
                <w:b w:val="false"/>
                <w:bCs w:val="false"/>
                <w:kern w:val="0"/>
                <w:sz w:val="22"/>
                <w:szCs w:val="22"/>
                <w:lang w:val="en-GB" w:eastAsia="en-US" w:bidi="ar-SA"/>
              </w:rPr>
              <w:t>Newsletters</w:t>
            </w:r>
          </w:p>
          <w:p>
            <w:pPr>
              <w:pStyle w:val="Normal"/>
              <w:widowControl/>
              <w:numPr>
                <w:ilvl w:val="0"/>
                <w:numId w:val="26"/>
              </w:numPr>
              <w:suppressAutoHyphens w:val="true"/>
              <w:spacing w:lineRule="auto" w:line="276" w:before="0" w:after="0"/>
              <w:jc w:val="both"/>
              <w:rPr>
                <w:b w:val="false"/>
                <w:bCs w:val="false"/>
              </w:rPr>
            </w:pPr>
            <w:r>
              <w:rPr>
                <w:rFonts w:eastAsia="Calibri" w:cs="Arial" w:ascii="FreeSerif" w:hAnsi="FreeSerif"/>
                <w:b w:val="false"/>
                <w:bCs w:val="false"/>
                <w:kern w:val="0"/>
                <w:sz w:val="22"/>
                <w:szCs w:val="22"/>
                <w:lang w:val="en-GB" w:eastAsia="en-US" w:bidi="ar-SA"/>
              </w:rPr>
              <w:t>Group/Team communications</w:t>
            </w:r>
          </w:p>
          <w:p>
            <w:pPr>
              <w:pStyle w:val="Normal"/>
              <w:widowControl/>
              <w:numPr>
                <w:ilvl w:val="0"/>
                <w:numId w:val="26"/>
              </w:numPr>
              <w:suppressAutoHyphens w:val="true"/>
              <w:spacing w:lineRule="auto" w:line="276" w:before="0" w:after="0"/>
              <w:jc w:val="both"/>
              <w:rPr>
                <w:b w:val="false"/>
                <w:bCs w:val="false"/>
              </w:rPr>
            </w:pPr>
            <w:r>
              <w:rPr>
                <w:rFonts w:eastAsia="Calibri" w:cs="Arial" w:ascii="FreeSerif" w:hAnsi="FreeSerif"/>
                <w:b w:val="false"/>
                <w:bCs w:val="false"/>
                <w:kern w:val="0"/>
                <w:sz w:val="22"/>
                <w:szCs w:val="22"/>
                <w:lang w:val="en-GB" w:eastAsia="en-US" w:bidi="ar-SA"/>
              </w:rPr>
              <w:t>Out-of-office messages</w:t>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Accessible by:</w:t>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 xml:space="preserve">Intended for use only within </w:t>
            </w:r>
            <w:r>
              <w:rPr>
                <w:rFonts w:eastAsia="Times New Roman" w:cs="Calibri" w:ascii="FreeSerif" w:hAnsi="FreeSerif"/>
                <w:bCs/>
                <w:kern w:val="0"/>
                <w:sz w:val="24"/>
                <w:szCs w:val="24"/>
                <w:lang w:val="en-GB" w:eastAsia="en-US" w:bidi="ar-SA"/>
              </w:rPr>
              <w:t>[company]</w:t>
            </w:r>
            <w:r>
              <w:rPr>
                <w:rFonts w:eastAsia="Times New Roman" w:cs="Calibri" w:ascii="FreeSerif" w:hAnsi="FreeSerif"/>
                <w:bCs/>
                <w:kern w:val="0"/>
                <w:sz w:val="24"/>
                <w:szCs w:val="24"/>
                <w:lang w:val="en-GB" w:eastAsia="en-US" w:bidi="ar-SA"/>
              </w:rPr>
              <w:t>.</w:t>
            </w:r>
          </w:p>
          <w:p>
            <w:pPr>
              <w:pStyle w:val="Normal"/>
              <w:widowControl/>
              <w:suppressAutoHyphens w:val="true"/>
              <w:spacing w:lineRule="auto" w:line="276" w:before="0" w:after="0"/>
              <w:ind w:hanging="357" w:left="357"/>
              <w:jc w:val="both"/>
              <w:rPr>
                <w:rFonts w:ascii="FreeSerif" w:hAnsi="FreeSerif" w:eastAsia="Times New Roman" w:cs="Calibri"/>
                <w:bCs/>
                <w:kern w:val="0"/>
                <w:sz w:val="24"/>
                <w:szCs w:val="24"/>
                <w:lang w:val="en-GB" w:eastAsia="en-US" w:bidi="ar-SA"/>
              </w:rPr>
            </w:pPr>
            <w:r>
              <w:rPr>
                <w:rFonts w:eastAsia="Times New Roman" w:cs="Calibri" w:ascii="FreeSerif" w:hAnsi="FreeSerif"/>
                <w:b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Breach Impact:</w:t>
            </w:r>
          </w:p>
          <w:p>
            <w:pPr>
              <w:pStyle w:val="Normal"/>
              <w:widowControl/>
              <w:suppressAutoHyphens w:val="true"/>
              <w:spacing w:lineRule="auto" w:line="276" w:before="0" w:after="0"/>
              <w:ind w:hanging="22" w:left="22"/>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Unauthorised disclosure, modification or destruction of this data is not expected to seriously or adversely impact the organisation, its employees, or its business partners. Examples include the company telephone directory, new employee training materials, and internal policy manuals.</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Network Data Transfer Policy:</w:t>
            </w:r>
          </w:p>
          <w:p>
            <w:pPr>
              <w:pStyle w:val="Normal"/>
              <w:widowControl/>
              <w:numPr>
                <w:ilvl w:val="0"/>
                <w:numId w:val="6"/>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Network: No special handling required</w:t>
            </w:r>
          </w:p>
          <w:p>
            <w:pPr>
              <w:pStyle w:val="Normal"/>
              <w:widowControl/>
              <w:numPr>
                <w:ilvl w:val="0"/>
                <w:numId w:val="6"/>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External accounts: No special handling required</w:t>
            </w:r>
          </w:p>
          <w:p>
            <w:pPr>
              <w:pStyle w:val="Normal"/>
              <w:widowControl/>
              <w:numPr>
                <w:ilvl w:val="0"/>
                <w:numId w:val="6"/>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Internal accounts: No special handling required</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Transfer via removable storage devices:</w:t>
            </w:r>
          </w:p>
          <w:p>
            <w:pPr>
              <w:pStyle w:val="Normal"/>
              <w:widowControl/>
              <w:numPr>
                <w:ilvl w:val="0"/>
                <w:numId w:val="7"/>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No special handling required</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Storage:</w:t>
            </w:r>
          </w:p>
          <w:p>
            <w:pPr>
              <w:pStyle w:val="Normal"/>
              <w:widowControl/>
              <w:numPr>
                <w:ilvl w:val="0"/>
                <w:numId w:val="8"/>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All digital data: Reasonable precautions to restrict access to internal staff</w:t>
            </w:r>
          </w:p>
          <w:p>
            <w:pPr>
              <w:pStyle w:val="Normal"/>
              <w:widowControl/>
              <w:numPr>
                <w:ilvl w:val="0"/>
                <w:numId w:val="8"/>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No special handling required</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Disposal:</w:t>
            </w:r>
          </w:p>
          <w:p>
            <w:pPr>
              <w:pStyle w:val="Normal"/>
              <w:widowControl/>
              <w:numPr>
                <w:ilvl w:val="0"/>
                <w:numId w:val="9"/>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All digital data: No special handling required</w:t>
            </w:r>
          </w:p>
          <w:p>
            <w:pPr>
              <w:pStyle w:val="Normal"/>
              <w:widowControl/>
              <w:numPr>
                <w:ilvl w:val="0"/>
                <w:numId w:val="9"/>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Paper shredding. Paper recycling is allowed.</w:t>
            </w:r>
          </w:p>
        </w:tc>
      </w:tr>
    </w:tbl>
    <w:p>
      <w:pPr>
        <w:pStyle w:val="Normal"/>
        <w:spacing w:before="0" w:after="0"/>
        <w:contextualSpacing/>
        <w:jc w:val="both"/>
        <w:rPr>
          <w:rFonts w:ascii="FreeSerif" w:hAnsi="FreeSerif" w:eastAsia="Times New Roman" w:cs="Calibri"/>
          <w:sz w:val="24"/>
          <w:szCs w:val="24"/>
        </w:rPr>
      </w:pPr>
      <w:r>
        <w:rPr>
          <w:rFonts w:eastAsia="Times New Roman" w:cs="Calibri" w:ascii="FreeSerif" w:hAnsi="FreeSerif"/>
          <w:sz w:val="24"/>
          <w:szCs w:val="24"/>
        </w:rPr>
      </w:r>
    </w:p>
    <w:p>
      <w:pPr>
        <w:pStyle w:val="Heading2"/>
        <w:numPr>
          <w:ilvl w:val="1"/>
          <w:numId w:val="24"/>
        </w:numPr>
        <w:rPr>
          <w:rFonts w:ascii="FreeSerif" w:hAnsi="FreeSerif"/>
        </w:rPr>
      </w:pPr>
      <w:r>
        <w:rPr>
          <w:rFonts w:ascii="FreeSerif" w:hAnsi="FreeSerif"/>
        </w:rPr>
        <w:t xml:space="preserve">Classification CONFIDENTIAL: </w:t>
      </w:r>
      <w:r>
        <w:rPr>
          <w:rFonts w:ascii="FreeSerif" w:hAnsi="FreeSerif"/>
        </w:rPr>
        <w:t>Confidential Data</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auto" w:val="clear"/>
          </w:tcPr>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Description:</w:t>
            </w:r>
          </w:p>
          <w:p>
            <w:pPr>
              <w:pStyle w:val="Normal"/>
              <w:widowControl/>
              <w:suppressAutoHyphens w:val="true"/>
              <w:spacing w:lineRule="auto" w:line="276" w:before="0" w:after="0"/>
              <w:ind w:hanging="22" w:left="22"/>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This classification applies to data that is intended solely for use within [company]. Data considered private is included in this classification, as well as data covered by data protection legislation and Payment Card Industry standards.</w:t>
            </w:r>
          </w:p>
          <w:p>
            <w:pPr>
              <w:pStyle w:val="Normal"/>
              <w:widowControl/>
              <w:suppressAutoHyphens w:val="true"/>
              <w:spacing w:lineRule="auto" w:line="276" w:before="0" w:after="0"/>
              <w:ind w:hanging="22" w:left="22"/>
              <w:jc w:val="both"/>
              <w:rPr>
                <w:rFonts w:ascii="FreeSerif" w:hAnsi="FreeSerif" w:eastAsia="Calibri" w:cs="Arial"/>
                <w:kern w:val="0"/>
                <w:sz w:val="22"/>
                <w:szCs w:val="22"/>
                <w:lang w:val="en-GB" w:eastAsia="en-US" w:bidi="ar-SA"/>
              </w:rPr>
            </w:pPr>
            <w:r>
              <w:rPr/>
            </w:r>
          </w:p>
          <w:p>
            <w:pPr>
              <w:pStyle w:val="Normal"/>
              <w:widowControl/>
              <w:suppressAutoHyphens w:val="true"/>
              <w:spacing w:lineRule="auto" w:line="276" w:before="0" w:after="0"/>
              <w:ind w:hanging="22" w:left="22"/>
              <w:jc w:val="both"/>
              <w:rPr>
                <w:rFonts w:ascii="FreeSerif" w:hAnsi="FreeSerif"/>
                <w:b/>
                <w:bCs/>
              </w:rPr>
            </w:pPr>
            <w:r>
              <w:rPr>
                <w:rFonts w:eastAsia="Calibri" w:cs="Arial" w:ascii="FreeSerif" w:hAnsi="FreeSerif"/>
                <w:b/>
                <w:bCs/>
                <w:kern w:val="0"/>
                <w:sz w:val="22"/>
                <w:szCs w:val="22"/>
                <w:lang w:val="en-GB" w:eastAsia="en-US" w:bidi="ar-SA"/>
              </w:rPr>
              <w:t>Examples:</w:t>
            </w:r>
          </w:p>
          <w:p>
            <w:pPr>
              <w:pStyle w:val="Normal"/>
              <w:widowControl/>
              <w:numPr>
                <w:ilvl w:val="0"/>
                <w:numId w:val="27"/>
              </w:numPr>
              <w:suppressAutoHyphens w:val="true"/>
              <w:spacing w:lineRule="auto" w:line="276" w:before="0" w:after="0"/>
              <w:jc w:val="both"/>
              <w:rPr>
                <w:rFonts w:ascii="FreeSerif" w:hAnsi="FreeSerif"/>
              </w:rPr>
            </w:pPr>
            <w:r>
              <w:rPr>
                <w:rFonts w:ascii="FreeSerif" w:hAnsi="FreeSerif"/>
              </w:rPr>
              <w:t>Personal information about customers, clients, employees</w:t>
            </w:r>
          </w:p>
          <w:p>
            <w:pPr>
              <w:pStyle w:val="Normal"/>
              <w:widowControl/>
              <w:numPr>
                <w:ilvl w:val="0"/>
                <w:numId w:val="27"/>
              </w:numPr>
              <w:suppressAutoHyphens w:val="true"/>
              <w:spacing w:lineRule="auto" w:line="276" w:before="0" w:after="0"/>
              <w:jc w:val="both"/>
              <w:rPr>
                <w:rFonts w:ascii="FreeSerif" w:hAnsi="FreeSerif"/>
              </w:rPr>
            </w:pPr>
            <w:r>
              <w:rPr>
                <w:rFonts w:ascii="FreeSerif" w:hAnsi="FreeSerif"/>
              </w:rPr>
              <w:t>Related to PCI/DSS, card data, or similar</w:t>
            </w:r>
          </w:p>
          <w:p>
            <w:pPr>
              <w:pStyle w:val="Normal"/>
              <w:widowControl/>
              <w:numPr>
                <w:ilvl w:val="0"/>
                <w:numId w:val="27"/>
              </w:numPr>
              <w:suppressAutoHyphens w:val="true"/>
              <w:spacing w:lineRule="auto" w:line="276" w:before="0" w:after="0"/>
              <w:jc w:val="both"/>
              <w:rPr>
                <w:rFonts w:ascii="FreeSerif" w:hAnsi="FreeSerif"/>
              </w:rPr>
            </w:pPr>
            <w:r>
              <w:rPr>
                <w:rFonts w:ascii="FreeSerif" w:hAnsi="FreeSerif"/>
              </w:rPr>
              <w:t>Bank information in client, customer or supplier agreements and contracts</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Accessible by:</w:t>
            </w:r>
          </w:p>
          <w:p>
            <w:pPr>
              <w:pStyle w:val="Normal"/>
              <w:widowControl/>
              <w:suppressAutoHyphens w:val="true"/>
              <w:spacing w:lineRule="auto" w:line="276" w:before="0" w:after="0"/>
              <w:ind w:hanging="22" w:left="22"/>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Access should be limited to a need-to-know basis as required by staff to do their job and would not be released externally except for regulatory or legal compliance.</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Breach Impact:</w:t>
            </w:r>
          </w:p>
          <w:p>
            <w:pPr>
              <w:pStyle w:val="Normal"/>
              <w:widowControl/>
              <w:suppressAutoHyphens w:val="true"/>
              <w:spacing w:lineRule="auto" w:line="276" w:before="0" w:after="0"/>
              <w:ind w:hanging="0" w:left="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Unauthorised disclosure could adversely impact the organisation, its employees and business partners. Examples include employee Human Resources data, source code, design specification documents, financial data, purchasing data, vendor contracts, and customer data in bulk.</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Network Data Transfer Policy:</w:t>
            </w:r>
          </w:p>
          <w:p>
            <w:pPr>
              <w:pStyle w:val="Normal"/>
              <w:widowControl/>
              <w:numPr>
                <w:ilvl w:val="0"/>
                <w:numId w:val="10"/>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SSH or SSL-encrypted channel</w:t>
            </w:r>
          </w:p>
          <w:p>
            <w:pPr>
              <w:pStyle w:val="Normal"/>
              <w:widowControl/>
              <w:numPr>
                <w:ilvl w:val="0"/>
                <w:numId w:val="10"/>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External accounts: Should only be emailed externally on a need-to-know basis</w:t>
            </w:r>
          </w:p>
          <w:p>
            <w:pPr>
              <w:pStyle w:val="Normal"/>
              <w:widowControl/>
              <w:numPr>
                <w:ilvl w:val="0"/>
                <w:numId w:val="10"/>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Internal accounts: Email should be marked as Confidential.</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Transfer via removable storage devices:</w:t>
            </w:r>
          </w:p>
          <w:p>
            <w:pPr>
              <w:pStyle w:val="Normal"/>
              <w:widowControl/>
              <w:numPr>
                <w:ilvl w:val="0"/>
                <w:numId w:val="11"/>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Access to the storage device should be password-protected</w:t>
            </w:r>
          </w:p>
          <w:p>
            <w:pPr>
              <w:pStyle w:val="Normal"/>
              <w:widowControl/>
              <w:suppressAutoHyphens w:val="true"/>
              <w:spacing w:lineRule="auto" w:line="276" w:before="0" w:after="0"/>
              <w:ind w:hanging="357" w:left="357"/>
              <w:jc w:val="both"/>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Storage:</w:t>
            </w:r>
          </w:p>
          <w:p>
            <w:pPr>
              <w:pStyle w:val="Normal"/>
              <w:widowControl/>
              <w:numPr>
                <w:ilvl w:val="0"/>
                <w:numId w:val="12"/>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In-use digital data: Processing systems must be protected from unauthorised access</w:t>
            </w:r>
          </w:p>
          <w:p>
            <w:pPr>
              <w:pStyle w:val="Normal"/>
              <w:widowControl/>
              <w:numPr>
                <w:ilvl w:val="0"/>
                <w:numId w:val="12"/>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Vaulted electronic data: In a lockable enclosure</w:t>
            </w:r>
          </w:p>
          <w:p>
            <w:pPr>
              <w:pStyle w:val="Normal"/>
              <w:widowControl/>
              <w:numPr>
                <w:ilvl w:val="0"/>
                <w:numId w:val="12"/>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In a lockable enclosure</w:t>
            </w:r>
          </w:p>
          <w:p>
            <w:pPr>
              <w:pStyle w:val="Normal"/>
              <w:widowControl/>
              <w:suppressAutoHyphens w:val="true"/>
              <w:spacing w:lineRule="auto" w:line="276" w:before="0" w:after="0"/>
              <w:ind w:hanging="357" w:left="357"/>
              <w:jc w:val="both"/>
              <w:rPr>
                <w:rFonts w:ascii="FreeSerif" w:hAnsi="FreeSerif" w:eastAsia="Times New Roman" w:cs="Calibri"/>
                <w:bCs/>
                <w:i/>
                <w:i/>
                <w:iCs/>
                <w:kern w:val="0"/>
                <w:sz w:val="24"/>
                <w:szCs w:val="24"/>
                <w:lang w:val="en-GB" w:eastAsia="en-US" w:bidi="ar-SA"/>
              </w:rPr>
            </w:pPr>
            <w:r>
              <w:rPr>
                <w:rFonts w:eastAsia="Times New Roman" w:cs="Calibri" w:ascii="FreeSerif" w:hAnsi="FreeSerif"/>
                <w:bCs/>
                <w:i/>
                <w:iCs/>
                <w:kern w:val="0"/>
                <w:sz w:val="24"/>
                <w:szCs w:val="24"/>
                <w:lang w:val="en-GB" w:eastAsia="en-US" w:bidi="ar-SA"/>
              </w:rPr>
            </w:r>
          </w:p>
          <w:p>
            <w:pPr>
              <w:pStyle w:val="Normal"/>
              <w:widowControl/>
              <w:suppressAutoHyphens w:val="true"/>
              <w:spacing w:lineRule="auto" w:line="276" w:before="0" w:after="0"/>
              <w:ind w:hanging="357" w:left="357"/>
              <w:jc w:val="both"/>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Disposal:</w:t>
            </w:r>
          </w:p>
          <w:p>
            <w:pPr>
              <w:pStyle w:val="Normal"/>
              <w:widowControl/>
              <w:numPr>
                <w:ilvl w:val="0"/>
                <w:numId w:val="13"/>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All digital data: Secure deletion process such as DBAN.</w:t>
            </w:r>
          </w:p>
          <w:p>
            <w:pPr>
              <w:pStyle w:val="Normal"/>
              <w:widowControl/>
              <w:numPr>
                <w:ilvl w:val="0"/>
                <w:numId w:val="13"/>
              </w:numPr>
              <w:suppressAutoHyphens w:val="true"/>
              <w:spacing w:lineRule="auto" w:line="276" w:before="0" w:after="0"/>
              <w:jc w:val="both"/>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Paper shredding. Paper recycling is allowed.</w:t>
            </w:r>
          </w:p>
        </w:tc>
      </w:tr>
    </w:tbl>
    <w:p>
      <w:pPr>
        <w:pStyle w:val="Normal"/>
        <w:spacing w:before="0" w:after="0"/>
        <w:contextualSpacing/>
        <w:jc w:val="both"/>
        <w:rPr>
          <w:rFonts w:ascii="FreeSerif" w:hAnsi="FreeSerif" w:eastAsia="Times New Roman" w:cs="Calibri"/>
          <w:sz w:val="24"/>
          <w:szCs w:val="24"/>
        </w:rPr>
      </w:pPr>
      <w:r>
        <w:rPr>
          <w:rFonts w:eastAsia="Times New Roman" w:cs="Calibri" w:ascii="FreeSerif" w:hAnsi="FreeSerif"/>
          <w:sz w:val="24"/>
          <w:szCs w:val="24"/>
        </w:rPr>
      </w:r>
    </w:p>
    <w:p>
      <w:pPr>
        <w:pStyle w:val="Heading2"/>
        <w:numPr>
          <w:ilvl w:val="1"/>
          <w:numId w:val="24"/>
        </w:numPr>
        <w:rPr>
          <w:rFonts w:ascii="FreeSerif" w:hAnsi="FreeSerif"/>
        </w:rPr>
      </w:pPr>
      <w:r>
        <w:rPr>
          <w:rFonts w:ascii="FreeSerif" w:hAnsi="FreeSerif"/>
        </w:rPr>
        <w:t xml:space="preserve">Classification: SECRET: </w:t>
      </w:r>
      <w:r>
        <w:rPr>
          <w:rFonts w:ascii="FreeSerif" w:hAnsi="FreeSerif"/>
        </w:rPr>
        <w:t>Secret Data</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auto" w:val="clear"/>
          </w:tcPr>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Description:</w:t>
            </w:r>
          </w:p>
          <w:p>
            <w:pPr>
              <w:pStyle w:val="Normal"/>
              <w:widowControl/>
              <w:suppressAutoHyphens w:val="true"/>
              <w:bidi w:val="0"/>
              <w:spacing w:lineRule="auto" w:line="276" w:before="0" w:after="0"/>
              <w:ind w:hanging="283" w:left="227" w:right="227"/>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This classification applies to the most sensitive business data intended strictly for use within the organisation.</w:t>
            </w:r>
          </w:p>
          <w:p>
            <w:pPr>
              <w:pStyle w:val="Normal"/>
              <w:widowControl/>
              <w:suppressAutoHyphens w:val="true"/>
              <w:spacing w:lineRule="auto" w:line="276" w:before="0" w:after="0"/>
              <w:ind w:hanging="357" w:left="357"/>
              <w:jc w:val="left"/>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t>Examples:</w:t>
            </w:r>
          </w:p>
          <w:p>
            <w:pPr>
              <w:pStyle w:val="Normal"/>
              <w:widowControl/>
              <w:numPr>
                <w:ilvl w:val="0"/>
                <w:numId w:val="28"/>
              </w:numPr>
              <w:suppressAutoHyphens w:val="true"/>
              <w:spacing w:lineRule="auto" w:line="276" w:before="0" w:after="0"/>
              <w:jc w:val="left"/>
              <w:rPr>
                <w:rFonts w:ascii="FreeSerif" w:hAnsi="FreeSerif" w:eastAsia="Times New Roman" w:cs="Calibri"/>
                <w:b w:val="false"/>
                <w:bCs w:val="false"/>
                <w:kern w:val="0"/>
                <w:sz w:val="24"/>
                <w:szCs w:val="24"/>
                <w:lang w:val="en-GB" w:eastAsia="en-US" w:bidi="ar-SA"/>
              </w:rPr>
            </w:pPr>
            <w:r>
              <w:rPr>
                <w:rFonts w:eastAsia="Times New Roman" w:cs="Calibri" w:ascii="FreeSerif" w:hAnsi="FreeSerif"/>
                <w:b w:val="false"/>
                <w:bCs w:val="false"/>
                <w:kern w:val="0"/>
                <w:sz w:val="24"/>
                <w:szCs w:val="24"/>
                <w:lang w:val="en-GB" w:eastAsia="en-US" w:bidi="ar-SA"/>
              </w:rPr>
              <w:t>Strategic business plans</w:t>
            </w:r>
          </w:p>
          <w:p>
            <w:pPr>
              <w:pStyle w:val="Normal"/>
              <w:widowControl/>
              <w:numPr>
                <w:ilvl w:val="0"/>
                <w:numId w:val="28"/>
              </w:numPr>
              <w:suppressAutoHyphens w:val="true"/>
              <w:spacing w:lineRule="auto" w:line="276" w:before="0" w:after="0"/>
              <w:jc w:val="left"/>
              <w:rPr>
                <w:rFonts w:ascii="FreeSerif" w:hAnsi="FreeSerif" w:eastAsia="Times New Roman" w:cs="Calibri"/>
                <w:b w:val="false"/>
                <w:bCs w:val="false"/>
                <w:kern w:val="0"/>
                <w:sz w:val="24"/>
                <w:szCs w:val="24"/>
                <w:lang w:val="en-GB" w:eastAsia="en-US" w:bidi="ar-SA"/>
              </w:rPr>
            </w:pPr>
            <w:r>
              <w:rPr>
                <w:rFonts w:eastAsia="Times New Roman" w:cs="Calibri" w:ascii="FreeSerif" w:hAnsi="FreeSerif"/>
                <w:b w:val="false"/>
                <w:bCs w:val="false"/>
                <w:kern w:val="0"/>
                <w:sz w:val="24"/>
                <w:szCs w:val="24"/>
                <w:lang w:val="en-GB" w:eastAsia="en-US" w:bidi="ar-SA"/>
              </w:rPr>
              <w:t>Unannounced mergers, acquisitions, products, services</w:t>
            </w:r>
          </w:p>
          <w:p>
            <w:pPr>
              <w:pStyle w:val="Normal"/>
              <w:widowControl/>
              <w:numPr>
                <w:ilvl w:val="0"/>
                <w:numId w:val="28"/>
              </w:numPr>
              <w:suppressAutoHyphens w:val="true"/>
              <w:spacing w:lineRule="auto" w:line="276" w:before="0" w:after="0"/>
              <w:jc w:val="left"/>
              <w:rPr>
                <w:rFonts w:ascii="FreeSerif" w:hAnsi="FreeSerif" w:eastAsia="Times New Roman" w:cs="Calibri"/>
                <w:b w:val="false"/>
                <w:bCs w:val="false"/>
                <w:kern w:val="0"/>
                <w:sz w:val="24"/>
                <w:szCs w:val="24"/>
                <w:lang w:val="en-GB" w:eastAsia="en-US" w:bidi="ar-SA"/>
              </w:rPr>
            </w:pPr>
            <w:r>
              <w:rPr>
                <w:rFonts w:eastAsia="Times New Roman" w:cs="Calibri" w:ascii="FreeSerif" w:hAnsi="FreeSerif"/>
                <w:b w:val="false"/>
                <w:bCs w:val="false"/>
                <w:kern w:val="0"/>
                <w:sz w:val="24"/>
                <w:szCs w:val="24"/>
                <w:lang w:val="en-GB" w:eastAsia="en-US" w:bidi="ar-SA"/>
              </w:rPr>
              <w:t>Unreleased financials or market-sensitive details</w:t>
            </w:r>
          </w:p>
          <w:p>
            <w:pPr>
              <w:pStyle w:val="Normal"/>
              <w:widowControl/>
              <w:numPr>
                <w:ilvl w:val="0"/>
                <w:numId w:val="28"/>
              </w:numPr>
              <w:suppressAutoHyphens w:val="true"/>
              <w:spacing w:lineRule="auto" w:line="276" w:before="0" w:after="0"/>
              <w:jc w:val="left"/>
              <w:rPr>
                <w:rFonts w:ascii="FreeSerif" w:hAnsi="FreeSerif" w:eastAsia="Times New Roman" w:cs="Calibri"/>
                <w:b w:val="false"/>
                <w:bCs w:val="false"/>
                <w:kern w:val="0"/>
                <w:sz w:val="24"/>
                <w:szCs w:val="24"/>
                <w:lang w:val="en-GB" w:eastAsia="en-US" w:bidi="ar-SA"/>
              </w:rPr>
            </w:pPr>
            <w:r>
              <w:rPr>
                <w:rFonts w:eastAsia="Times New Roman" w:cs="Calibri" w:ascii="FreeSerif" w:hAnsi="FreeSerif"/>
                <w:b w:val="false"/>
                <w:bCs w:val="false"/>
                <w:kern w:val="0"/>
                <w:sz w:val="24"/>
                <w:szCs w:val="24"/>
                <w:lang w:val="en-GB" w:eastAsia="en-US" w:bidi="ar-SA"/>
              </w:rPr>
              <w:t>Login and authentication credientials</w:t>
            </w:r>
          </w:p>
          <w:p>
            <w:pPr>
              <w:pStyle w:val="Normal"/>
              <w:widowControl/>
              <w:suppressAutoHyphens w:val="true"/>
              <w:spacing w:lineRule="auto" w:line="276" w:before="0" w:after="0"/>
              <w:jc w:val="left"/>
              <w:rPr>
                <w:rFonts w:ascii="FreeSerif" w:hAnsi="FreeSerif" w:eastAsia="Times New Roman" w:cs="Calibri"/>
                <w:b w:val="false"/>
                <w:bCs w:val="false"/>
                <w:kern w:val="0"/>
                <w:sz w:val="24"/>
                <w:szCs w:val="24"/>
                <w:lang w:val="en-GB" w:eastAsia="en-US" w:bidi="ar-SA"/>
              </w:rPr>
            </w:pPr>
            <w:r>
              <w:rPr>
                <w:rFonts w:eastAsia="Times New Roman" w:cs="Calibri" w:ascii="FreeSerif" w:hAnsi="FreeSerif"/>
                <w:b w:val="false"/>
                <w:bCs w:val="false"/>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Accessible by:</w:t>
            </w:r>
          </w:p>
          <w:p>
            <w:pPr>
              <w:pStyle w:val="Normal"/>
              <w:widowControl/>
              <w:suppressAutoHyphens w:val="true"/>
              <w:spacing w:lineRule="auto" w:line="276" w:before="0" w:after="0"/>
              <w:ind w:hanging="0" w:left="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Access is limited to as few persons as possible and on a need-to-know basis. As this data is very sensitive, it should be closely controlled from creation to destruction.</w:t>
            </w:r>
          </w:p>
          <w:p>
            <w:pPr>
              <w:pStyle w:val="Normal"/>
              <w:widowControl/>
              <w:suppressAutoHyphens w:val="true"/>
              <w:spacing w:lineRule="auto" w:line="276" w:before="0" w:after="0"/>
              <w:ind w:hanging="357" w:left="357"/>
              <w:jc w:val="left"/>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Breach Impact:</w:t>
            </w:r>
          </w:p>
          <w:p>
            <w:pPr>
              <w:pStyle w:val="Normal"/>
              <w:widowControl/>
              <w:suppressAutoHyphens w:val="true"/>
              <w:spacing w:lineRule="auto" w:line="276" w:before="0" w:after="0"/>
              <w:ind w:hanging="51" w:left="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Unauthorised disclosure could seriously and adversely impact the organisation, its shareholders, employees and its business partners. Examples include trade secrets, merger and acquisition documents, corporate-level strategic plans, litigation strategy, HR issues, etc.</w:t>
            </w:r>
          </w:p>
          <w:p>
            <w:pPr>
              <w:pStyle w:val="Normal"/>
              <w:widowControl/>
              <w:suppressAutoHyphens w:val="true"/>
              <w:spacing w:lineRule="auto" w:line="276" w:before="0" w:after="0"/>
              <w:ind w:hanging="357" w:left="357"/>
              <w:jc w:val="left"/>
              <w:rPr>
                <w:rFonts w:ascii="FreeSerif" w:hAnsi="FreeSerif" w:eastAsia="Times New Roman" w:cs="Calibri"/>
                <w:bCs/>
                <w:kern w:val="0"/>
                <w:sz w:val="24"/>
                <w:szCs w:val="24"/>
                <w:lang w:val="en-GB" w:eastAsia="en-US" w:bidi="ar-SA"/>
              </w:rPr>
            </w:pPr>
            <w:r>
              <w:rPr>
                <w:rFonts w:eastAsia="Times New Roman" w:cs="Calibri" w:ascii="FreeSerif" w:hAnsi="FreeSerif"/>
                <w:bCs/>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Network Data Transfer Policy:</w:t>
            </w:r>
          </w:p>
          <w:p>
            <w:pPr>
              <w:pStyle w:val="Normal"/>
              <w:widowControl/>
              <w:numPr>
                <w:ilvl w:val="0"/>
                <w:numId w:val="14"/>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File transfer over a temporary SSH or SSL-encrypted channel custom-made for the sender and recipient for the duration of the file transmission</w:t>
            </w:r>
          </w:p>
          <w:p>
            <w:pPr>
              <w:pStyle w:val="Normal"/>
              <w:widowControl/>
              <w:numPr>
                <w:ilvl w:val="0"/>
                <w:numId w:val="14"/>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External accounts: Data must be in an encrypted file on a need-to-know basis</w:t>
            </w:r>
          </w:p>
          <w:p>
            <w:pPr>
              <w:pStyle w:val="Normal"/>
              <w:widowControl/>
              <w:numPr>
                <w:ilvl w:val="0"/>
                <w:numId w:val="14"/>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Email to Internal accounts: Should not be emailed externally</w:t>
            </w:r>
          </w:p>
          <w:p>
            <w:pPr>
              <w:pStyle w:val="Normal"/>
              <w:widowControl/>
              <w:suppressAutoHyphens w:val="true"/>
              <w:spacing w:lineRule="auto" w:line="276" w:before="0" w:after="0"/>
              <w:ind w:hanging="357" w:left="357"/>
              <w:jc w:val="left"/>
              <w:rPr>
                <w:rFonts w:ascii="FreeSerif" w:hAnsi="FreeSerif" w:eastAsia="Times New Roman" w:cs="Calibri"/>
                <w:bCs/>
                <w:kern w:val="0"/>
                <w:sz w:val="24"/>
                <w:szCs w:val="24"/>
                <w:lang w:val="en-GB" w:eastAsia="en-US" w:bidi="ar-SA"/>
              </w:rPr>
            </w:pPr>
            <w:r>
              <w:rPr>
                <w:rFonts w:eastAsia="Times New Roman" w:cs="Calibri" w:ascii="FreeSerif" w:hAnsi="FreeSerif"/>
                <w:bCs/>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Transfer via removable storage devices:</w:t>
            </w:r>
          </w:p>
          <w:p>
            <w:pPr>
              <w:pStyle w:val="Normal"/>
              <w:widowControl/>
              <w:numPr>
                <w:ilvl w:val="0"/>
                <w:numId w:val="1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Files containing this classification of data must be encrypted</w:t>
            </w:r>
          </w:p>
          <w:p>
            <w:pPr>
              <w:pStyle w:val="Normal"/>
              <w:widowControl/>
              <w:numPr>
                <w:ilvl w:val="0"/>
                <w:numId w:val="15"/>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The encryption key and storage device must be handed over to the recipient via two different transfer modes.</w:t>
            </w:r>
          </w:p>
          <w:p>
            <w:pPr>
              <w:pStyle w:val="Normal"/>
              <w:widowControl/>
              <w:suppressAutoHyphens w:val="true"/>
              <w:spacing w:lineRule="auto" w:line="276" w:before="0" w:after="0"/>
              <w:ind w:hanging="357" w:left="357"/>
              <w:jc w:val="left"/>
              <w:rPr>
                <w:rFonts w:ascii="FreeSerif" w:hAnsi="FreeSerif" w:eastAsia="Times New Roman" w:cs="Calibri"/>
                <w:b/>
                <w:kern w:val="0"/>
                <w:sz w:val="24"/>
                <w:szCs w:val="24"/>
                <w:lang w:val="en-GB" w:eastAsia="en-US" w:bidi="ar-SA"/>
              </w:rPr>
            </w:pPr>
            <w:r>
              <w:rPr>
                <w:rFonts w:eastAsia="Times New Roman" w:cs="Calibri" w:ascii="FreeSerif" w:hAnsi="FreeSerif"/>
                <w:b/>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Storage:</w:t>
            </w:r>
          </w:p>
          <w:p>
            <w:pPr>
              <w:pStyle w:val="Normal"/>
              <w:widowControl/>
              <w:numPr>
                <w:ilvl w:val="0"/>
                <w:numId w:val="16"/>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Active digital data: There should not be any secret data on any processing systems</w:t>
            </w:r>
          </w:p>
          <w:p>
            <w:pPr>
              <w:pStyle w:val="Normal"/>
              <w:widowControl/>
              <w:numPr>
                <w:ilvl w:val="0"/>
                <w:numId w:val="16"/>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Vaulted digital data: In a lockable enclosure</w:t>
            </w:r>
          </w:p>
          <w:p>
            <w:pPr>
              <w:pStyle w:val="Normal"/>
              <w:widowControl/>
              <w:numPr>
                <w:ilvl w:val="0"/>
                <w:numId w:val="16"/>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In a lockable enclosure</w:t>
            </w:r>
          </w:p>
          <w:p>
            <w:pPr>
              <w:pStyle w:val="Normal"/>
              <w:widowControl/>
              <w:suppressAutoHyphens w:val="true"/>
              <w:spacing w:lineRule="auto" w:line="276" w:before="0" w:after="0"/>
              <w:ind w:hanging="0" w:left="720"/>
              <w:jc w:val="left"/>
              <w:rPr>
                <w:rFonts w:ascii="FreeSerif" w:hAnsi="FreeSerif" w:eastAsia="Times New Roman" w:cs="Calibri"/>
                <w:bCs/>
                <w:kern w:val="0"/>
                <w:sz w:val="24"/>
                <w:szCs w:val="24"/>
                <w:lang w:val="en-GB" w:eastAsia="en-US" w:bidi="ar-SA"/>
              </w:rPr>
            </w:pPr>
            <w:r>
              <w:rPr>
                <w:rFonts w:eastAsia="Times New Roman" w:cs="Calibri" w:ascii="FreeSerif" w:hAnsi="FreeSerif"/>
                <w:bCs/>
                <w:kern w:val="0"/>
                <w:sz w:val="24"/>
                <w:szCs w:val="24"/>
                <w:lang w:val="en-GB" w:eastAsia="en-US" w:bidi="ar-SA"/>
              </w:rPr>
            </w:r>
          </w:p>
          <w:p>
            <w:pPr>
              <w:pStyle w:val="Normal"/>
              <w:widowControl/>
              <w:suppressAutoHyphens w:val="true"/>
              <w:spacing w:lineRule="auto" w:line="276" w:before="0" w:after="0"/>
              <w:ind w:hanging="357" w:left="357"/>
              <w:jc w:val="left"/>
              <w:rPr>
                <w:rFonts w:ascii="FreeSerif" w:hAnsi="FreeSerif" w:eastAsia="Calibri" w:cs="Arial"/>
                <w:kern w:val="0"/>
                <w:sz w:val="22"/>
                <w:szCs w:val="22"/>
                <w:lang w:val="en-GB" w:eastAsia="en-US" w:bidi="ar-SA"/>
              </w:rPr>
            </w:pPr>
            <w:r>
              <w:rPr>
                <w:rFonts w:eastAsia="Times New Roman" w:cs="Calibri" w:ascii="FreeSerif" w:hAnsi="FreeSerif"/>
                <w:b/>
                <w:kern w:val="0"/>
                <w:sz w:val="24"/>
                <w:szCs w:val="24"/>
                <w:lang w:val="en-GB" w:eastAsia="en-US" w:bidi="ar-SA"/>
              </w:rPr>
              <w:t>Data Disposal:</w:t>
            </w:r>
          </w:p>
          <w:p>
            <w:pPr>
              <w:pStyle w:val="Normal"/>
              <w:widowControl/>
              <w:numPr>
                <w:ilvl w:val="0"/>
                <w:numId w:val="17"/>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All digital data: Secure deletion process such as DBAN.</w:t>
            </w:r>
          </w:p>
          <w:p>
            <w:pPr>
              <w:pStyle w:val="Normal"/>
              <w:widowControl/>
              <w:numPr>
                <w:ilvl w:val="0"/>
                <w:numId w:val="17"/>
              </w:numPr>
              <w:suppressAutoHyphens w:val="true"/>
              <w:spacing w:lineRule="auto" w:line="276" w:before="0" w:after="0"/>
              <w:jc w:val="left"/>
              <w:rPr>
                <w:rFonts w:ascii="FreeSerif" w:hAnsi="FreeSerif" w:eastAsia="Calibri" w:cs="Arial"/>
                <w:kern w:val="0"/>
                <w:sz w:val="22"/>
                <w:szCs w:val="22"/>
                <w:lang w:val="en-GB" w:eastAsia="en-US" w:bidi="ar-SA"/>
              </w:rPr>
            </w:pPr>
            <w:r>
              <w:rPr>
                <w:rFonts w:eastAsia="Times New Roman" w:cs="Calibri" w:ascii="FreeSerif" w:hAnsi="FreeSerif"/>
                <w:bCs/>
                <w:kern w:val="0"/>
                <w:sz w:val="24"/>
                <w:szCs w:val="24"/>
                <w:lang w:val="en-GB" w:eastAsia="en-US" w:bidi="ar-SA"/>
              </w:rPr>
              <w:t>Printed material: Paper shredding and destruction. Paper recycling is not allowed.</w:t>
            </w:r>
          </w:p>
        </w:tc>
      </w:tr>
    </w:tbl>
    <w:p>
      <w:pPr>
        <w:pStyle w:val="Normal"/>
        <w:spacing w:lineRule="auto" w:line="276"/>
        <w:jc w:val="both"/>
        <w:rPr>
          <w:rFonts w:ascii="FreeSerif" w:hAnsi="FreeSerif" w:eastAsia="Times New Roman" w:cs="Calibri"/>
          <w:b/>
          <w:bCs/>
          <w:sz w:val="24"/>
          <w:szCs w:val="24"/>
        </w:rPr>
      </w:pPr>
      <w:r>
        <w:rPr>
          <w:rFonts w:eastAsia="Times New Roman" w:cs="Calibri" w:ascii="FreeSerif" w:hAnsi="FreeSerif"/>
          <w:b/>
          <w:bCs/>
          <w:sz w:val="24"/>
          <w:szCs w:val="24"/>
        </w:rPr>
      </w:r>
      <w:bookmarkStart w:id="2" w:name="_Hlk19182173_Copy_1"/>
      <w:bookmarkStart w:id="3" w:name="_Hlk19182173_Copy_1"/>
      <w:bookmarkEnd w:id="3"/>
    </w:p>
    <w:p>
      <w:pPr>
        <w:pStyle w:val="Heading1"/>
        <w:numPr>
          <w:ilvl w:val="0"/>
          <w:numId w:val="24"/>
        </w:numPr>
        <w:rPr>
          <w:rFonts w:ascii="FreeSerif" w:hAnsi="FreeSerif"/>
        </w:rPr>
      </w:pPr>
      <w:r>
        <w:rPr>
          <w:rFonts w:ascii="FreeSerif" w:hAnsi="FreeSerif"/>
        </w:rPr>
        <w:t>CONTACT FOR QUERIES AND GUIDANCE ABOUT THIS POLICY</w:t>
      </w:r>
    </w:p>
    <w:p>
      <w:pPr>
        <w:pStyle w:val="NoSpacing"/>
        <w:rPr>
          <w:rFonts w:ascii="FreeSerif" w:hAnsi="FreeSerif"/>
        </w:rPr>
      </w:pPr>
      <w:r>
        <w:rPr>
          <w:rFonts w:ascii="FreeSerif" w:hAnsi="FreeSerif"/>
        </w:rPr>
        <w:t>Queries are to be initially addressed to the IT Service Operations team.</w:t>
      </w:r>
    </w:p>
    <w:p>
      <w:pPr>
        <w:pStyle w:val="Normal"/>
        <w:rPr/>
      </w:pPr>
      <w:r>
        <w:rPr>
          <w:rStyle w:val="NoSpacingChar"/>
          <w:rFonts w:ascii="FreeSerif" w:hAnsi="FreeSerif"/>
        </w:rPr>
        <w:t xml:space="preserve"> </w:t>
      </w:r>
      <w:r>
        <w:rPr>
          <w:rFonts w:cs="Calibri" w:ascii="FreeSerif" w:hAnsi="FreeSerif" w:cstheme="minorHAnsi"/>
          <w:b/>
          <w:color w:themeColor="background1" w:val="FFFFFF"/>
          <w:sz w:val="24"/>
          <w:szCs w:val="24"/>
        </w:rPr>
        <w:t>POLICY</w:t>
      </w:r>
    </w:p>
    <w:p>
      <w:pPr>
        <w:pStyle w:val="Normal"/>
        <w:rPr>
          <w:rFonts w:ascii="FreeSerif" w:hAnsi="FreeSerif"/>
        </w:rPr>
      </w:pPr>
      <w:r>
        <w:rPr>
          <w:rFonts w:cs="Calibri" w:ascii="FreeSerif" w:hAnsi="FreeSerif" w:cstheme="minorHAnsi"/>
          <w:b/>
          <w:color w:themeColor="background1" w:val="FFFFFF"/>
          <w:sz w:val="24"/>
          <w:szCs w:val="24"/>
        </w:rPr>
        <w:t>SUPPORTING &amp; REFERENCE MATERIALS</w:t>
      </w:r>
    </w:p>
    <w:p>
      <w:pPr>
        <w:pStyle w:val="Normal"/>
        <w:rPr>
          <w:rFonts w:ascii="FreeSerif" w:hAnsi="FreeSerif" w:eastAsia="Times New Roman" w:cs="Calibri"/>
          <w:sz w:val="6"/>
          <w:szCs w:val="6"/>
        </w:rPr>
      </w:pPr>
      <w:r>
        <w:rPr>
          <w:rFonts w:eastAsia="Times New Roman" w:cs="Calibri" w:ascii="FreeSerif" w:hAnsi="FreeSerif"/>
          <w:sz w:val="6"/>
          <w:szCs w:val="6"/>
        </w:rPr>
      </w:r>
    </w:p>
    <w:tbl>
      <w:tblPr>
        <w:tblStyle w:val="TableGrid"/>
        <w:tblW w:w="1049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709"/>
        <w:gridCol w:w="5811"/>
        <w:gridCol w:w="3935"/>
        <w:gridCol w:w="34"/>
      </w:tblGrid>
      <w:tr>
        <w:trPr>
          <w:trHeight w:val="340" w:hRule="atLeast"/>
        </w:trPr>
        <w:tc>
          <w:tcPr>
            <w:tcW w:w="10489" w:type="dxa"/>
            <w:gridSpan w:val="4"/>
            <w:tcBorders/>
            <w:shd w:color="auto" w:fill="8B6F4B" w:val="clear"/>
          </w:tcPr>
          <w:p>
            <w:pPr>
              <w:pStyle w:val="Heading1"/>
              <w:widowControl/>
              <w:numPr>
                <w:ilvl w:val="0"/>
                <w:numId w:val="24"/>
              </w:numPr>
              <w:suppressAutoHyphens w:val="true"/>
              <w:spacing w:before="0" w:after="0"/>
              <w:ind w:hanging="357" w:left="357"/>
              <w:contextualSpacing/>
              <w:jc w:val="left"/>
              <w:rPr>
                <w:rFonts w:ascii="FreeSerif" w:hAnsi="FreeSerif" w:eastAsia="Calibri"/>
                <w:kern w:val="0"/>
                <w:lang w:val="en-GB" w:eastAsia="en-US" w:bidi="ar-SA"/>
              </w:rPr>
            </w:pPr>
            <w:r>
              <w:rPr>
                <w:rFonts w:eastAsia="Calibri" w:ascii="FreeSerif" w:hAnsi="FreeSerif"/>
                <w:kern w:val="0"/>
                <w:lang w:val="en-GB" w:eastAsia="en-US" w:bidi="ar-SA"/>
              </w:rPr>
              <w:t>SUPPORTING &amp; REFERENCE MATERIALS</w:t>
            </w:r>
          </w:p>
        </w:tc>
      </w:tr>
      <w:tr>
        <w:trPr>
          <w:trHeight w:val="300" w:hRule="atLeast"/>
        </w:trPr>
        <w:tc>
          <w:tcPr>
            <w:tcW w:w="709"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Ref</w:t>
            </w:r>
          </w:p>
        </w:tc>
        <w:tc>
          <w:tcPr>
            <w:tcW w:w="5811"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Title</w:t>
            </w:r>
          </w:p>
        </w:tc>
        <w:tc>
          <w:tcPr>
            <w:tcW w:w="3935"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Document Id</w:t>
            </w:r>
          </w:p>
        </w:tc>
        <w:tc>
          <w:tcPr>
            <w:tcW w:w="34" w:type="dxa"/>
            <w:tcBorders>
              <w:top w:val="nil"/>
              <w:left w:val="nil"/>
              <w:bottom w:val="nil"/>
              <w:right w:val="nil"/>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284" w:hRule="atLeast"/>
        </w:trPr>
        <w:tc>
          <w:tcPr>
            <w:tcW w:w="709"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1</w:t>
            </w:r>
          </w:p>
        </w:tc>
        <w:tc>
          <w:tcPr>
            <w:tcW w:w="5811"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Information Security Policy</w:t>
            </w:r>
          </w:p>
        </w:tc>
        <w:tc>
          <w:tcPr>
            <w:tcW w:w="3935"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4" w:type="dxa"/>
            <w:tcBorders>
              <w:top w:val="nil"/>
              <w:left w:val="nil"/>
              <w:bottom w:val="nil"/>
              <w:right w:val="nil"/>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5811"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935"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4" w:type="dxa"/>
            <w:tcBorders>
              <w:top w:val="nil"/>
              <w:left w:val="nil"/>
              <w:bottom w:val="nil"/>
              <w:right w:val="nil"/>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5811"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935"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4" w:type="dxa"/>
            <w:tcBorders>
              <w:top w:val="nil"/>
              <w:left w:val="nil"/>
              <w:bottom w:val="nil"/>
              <w:right w:val="nil"/>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bl>
    <w:p>
      <w:pPr>
        <w:pStyle w:val="ListParagraph"/>
        <w:rPr>
          <w:rFonts w:ascii="FreeSerif" w:hAnsi="FreeSerif" w:cs="Calibri" w:cstheme="minorHAnsi"/>
          <w:sz w:val="24"/>
          <w:szCs w:val="24"/>
        </w:rPr>
      </w:pPr>
      <w:r>
        <w:rPr>
          <w:rFonts w:cs="Calibri" w:cstheme="minorHAnsi" w:ascii="FreeSerif" w:hAnsi="FreeSerif"/>
          <w:sz w:val="24"/>
          <w:szCs w:val="24"/>
        </w:rPr>
      </w:r>
    </w:p>
    <w:tbl>
      <w:tblPr>
        <w:tblStyle w:val="TableGrid"/>
        <w:tblW w:w="105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8"/>
        <w:gridCol w:w="6381"/>
        <w:gridCol w:w="2177"/>
      </w:tblGrid>
      <w:tr>
        <w:trPr>
          <w:trHeight w:val="364" w:hRule="atLeast"/>
        </w:trPr>
        <w:tc>
          <w:tcPr>
            <w:tcW w:w="10536" w:type="dxa"/>
            <w:gridSpan w:val="3"/>
            <w:tcBorders/>
            <w:shd w:color="auto" w:fill="8B6F4B" w:val="clear"/>
          </w:tcPr>
          <w:p>
            <w:pPr>
              <w:pStyle w:val="Heading1"/>
              <w:widowControl/>
              <w:numPr>
                <w:ilvl w:val="0"/>
                <w:numId w:val="24"/>
              </w:numPr>
              <w:suppressAutoHyphens w:val="true"/>
              <w:spacing w:before="0" w:after="0"/>
              <w:ind w:hanging="357" w:left="357"/>
              <w:contextualSpacing/>
              <w:jc w:val="left"/>
              <w:rPr>
                <w:rFonts w:ascii="FreeSerif" w:hAnsi="FreeSerif" w:eastAsia="Calibri"/>
                <w:kern w:val="0"/>
                <w:lang w:val="en-GB" w:eastAsia="en-US" w:bidi="ar-SA"/>
              </w:rPr>
            </w:pPr>
            <w:r>
              <w:rPr>
                <w:rFonts w:eastAsia="Calibri" w:ascii="FreeSerif" w:hAnsi="FreeSerif"/>
                <w:kern w:val="0"/>
                <w:lang w:val="en-GB" w:eastAsia="en-US" w:bidi="ar-SA"/>
              </w:rPr>
              <w:t>REVIEW AND APPROVAL OF POLICY</w:t>
            </w:r>
          </w:p>
        </w:tc>
      </w:tr>
      <w:tr>
        <w:trPr>
          <w:trHeight w:val="295" w:hRule="atLeast"/>
        </w:trPr>
        <w:tc>
          <w:tcPr>
            <w:tcW w:w="1978"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Reviewed by</w:t>
            </w:r>
          </w:p>
        </w:tc>
        <w:tc>
          <w:tcPr>
            <w:tcW w:w="6381"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Job Title/Role</w:t>
            </w:r>
          </w:p>
        </w:tc>
        <w:tc>
          <w:tcPr>
            <w:tcW w:w="2177"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Date</w:t>
            </w:r>
          </w:p>
        </w:tc>
      </w:tr>
      <w:tr>
        <w:trPr>
          <w:trHeight w:val="282" w:hRule="atLeast"/>
        </w:trPr>
        <w:tc>
          <w:tcPr>
            <w:tcW w:w="1978"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1"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8"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1"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95" w:hRule="atLeast"/>
        </w:trPr>
        <w:tc>
          <w:tcPr>
            <w:tcW w:w="1978"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1"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8"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Approved by</w:t>
            </w:r>
          </w:p>
        </w:tc>
        <w:tc>
          <w:tcPr>
            <w:tcW w:w="6381"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Job Title/Role</w:t>
            </w:r>
          </w:p>
        </w:tc>
        <w:tc>
          <w:tcPr>
            <w:tcW w:w="2177"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Approval Date</w:t>
            </w:r>
          </w:p>
        </w:tc>
      </w:tr>
      <w:tr>
        <w:trPr>
          <w:trHeight w:val="282" w:hRule="atLeast"/>
        </w:trPr>
        <w:tc>
          <w:tcPr>
            <w:tcW w:w="1978"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1"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8"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1"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8"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1"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uppressAutoHyphens w:val="true"/>
              <w:spacing w:before="0" w:after="0"/>
              <w:ind w:hanging="357" w:left="357"/>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bl>
    <w:p>
      <w:pPr>
        <w:pStyle w:val="ListParagraph"/>
        <w:rPr>
          <w:rFonts w:ascii="FreeSerif" w:hAnsi="FreeSerif" w:cs="Calibri" w:cstheme="minorHAnsi"/>
          <w:sz w:val="24"/>
          <w:szCs w:val="24"/>
        </w:rPr>
      </w:pPr>
      <w:r>
        <w:rPr>
          <w:rFonts w:cs="Calibri" w:cstheme="minorHAnsi" w:ascii="FreeSerif" w:hAnsi="FreeSerif"/>
          <w:sz w:val="24"/>
          <w:szCs w:val="24"/>
        </w:rPr>
      </w:r>
    </w:p>
    <w:tbl>
      <w:tblPr>
        <w:tblStyle w:val="TableGrid"/>
        <w:tblW w:w="1050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418"/>
        <w:gridCol w:w="3330"/>
        <w:gridCol w:w="3331"/>
        <w:gridCol w:w="2424"/>
      </w:tblGrid>
      <w:tr>
        <w:trPr>
          <w:trHeight w:val="348" w:hRule="atLeast"/>
        </w:trPr>
        <w:tc>
          <w:tcPr>
            <w:tcW w:w="10503" w:type="dxa"/>
            <w:gridSpan w:val="4"/>
            <w:tcBorders/>
            <w:shd w:color="auto" w:fill="8B6F4B" w:val="clear"/>
          </w:tcPr>
          <w:p>
            <w:pPr>
              <w:pStyle w:val="Heading1"/>
              <w:widowControl/>
              <w:numPr>
                <w:ilvl w:val="0"/>
                <w:numId w:val="24"/>
              </w:numPr>
              <w:suppressAutoHyphens w:val="true"/>
              <w:spacing w:before="0" w:after="0"/>
              <w:ind w:hanging="357" w:left="357"/>
              <w:contextualSpacing/>
              <w:jc w:val="left"/>
              <w:rPr>
                <w:rFonts w:ascii="FreeSerif" w:hAnsi="FreeSerif" w:eastAsia="Calibri"/>
                <w:kern w:val="0"/>
                <w:lang w:val="en-GB" w:eastAsia="en-US" w:bidi="ar-SA"/>
              </w:rPr>
            </w:pPr>
            <w:r>
              <w:rPr>
                <w:rFonts w:eastAsia="Calibri" w:ascii="FreeSerif" w:hAnsi="FreeSerif"/>
                <w:kern w:val="0"/>
                <w:lang w:val="en-GB" w:eastAsia="en-US" w:bidi="ar-SA"/>
              </w:rPr>
              <w:t>HISTORY AND VERSION CONTROL</w:t>
            </w:r>
          </w:p>
        </w:tc>
      </w:tr>
      <w:tr>
        <w:trPr>
          <w:trHeight w:val="307" w:hRule="atLeast"/>
        </w:trPr>
        <w:tc>
          <w:tcPr>
            <w:tcW w:w="1418"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Version #</w:t>
            </w:r>
          </w:p>
        </w:tc>
        <w:tc>
          <w:tcPr>
            <w:tcW w:w="3330"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Author</w:t>
            </w:r>
          </w:p>
        </w:tc>
        <w:tc>
          <w:tcPr>
            <w:tcW w:w="3331"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Comments</w:t>
            </w:r>
          </w:p>
        </w:tc>
        <w:tc>
          <w:tcPr>
            <w:tcW w:w="2424" w:type="dxa"/>
            <w:tcBorders/>
            <w:shd w:color="auto" w:fill="DAD5D0" w:val="clear"/>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 xml:space="preserve"> </w:t>
            </w:r>
            <w:r>
              <w:rPr>
                <w:rFonts w:eastAsia="Calibri" w:cs="Arial" w:ascii="FreeSerif" w:hAnsi="FreeSerif"/>
                <w:b/>
                <w:bCs/>
                <w:kern w:val="0"/>
                <w:sz w:val="24"/>
                <w:szCs w:val="24"/>
                <w:lang w:val="en-GB" w:eastAsia="en-US" w:bidi="ar-SA"/>
              </w:rPr>
              <w:t>Date</w:t>
            </w:r>
          </w:p>
        </w:tc>
      </w:tr>
      <w:tr>
        <w:trPr>
          <w:trHeight w:val="291" w:hRule="atLeast"/>
        </w:trPr>
        <w:tc>
          <w:tcPr>
            <w:tcW w:w="1418"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0"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1"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424"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291" w:hRule="atLeast"/>
        </w:trPr>
        <w:tc>
          <w:tcPr>
            <w:tcW w:w="1418"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0"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1"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424"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291" w:hRule="atLeast"/>
        </w:trPr>
        <w:tc>
          <w:tcPr>
            <w:tcW w:w="1418"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0"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1"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424" w:type="dxa"/>
            <w:tcBorders/>
          </w:tcPr>
          <w:p>
            <w:pPr>
              <w:pStyle w:val="Normal"/>
              <w:widowControl/>
              <w:suppressAutoHyphens w:val="true"/>
              <w:spacing w:before="0" w:after="0"/>
              <w:ind w:hanging="357" w:left="357"/>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bl>
    <w:p>
      <w:pPr>
        <w:pStyle w:val="Normal"/>
        <w:tabs>
          <w:tab w:val="clear" w:pos="720"/>
          <w:tab w:val="left" w:pos="2721" w:leader="none"/>
        </w:tabs>
        <w:rPr>
          <w:rFonts w:ascii="FreeSerif" w:hAnsi="FreeSerif" w:cs="Calibri" w:cstheme="minorHAnsi"/>
          <w:sz w:val="24"/>
          <w:szCs w:val="24"/>
        </w:rPr>
      </w:pPr>
      <w:r>
        <w:rPr>
          <w:rFonts w:cs="Calibri" w:cstheme="minorHAnsi" w:ascii="FreeSerif" w:hAnsi="FreeSerif"/>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426" w:top="720" w:footer="708" w:bottom="765"/>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aramond">
    <w:charset w:val="01"/>
    <w:family w:val="swiss"/>
    <w:pitch w:val="variable"/>
  </w:font>
  <w:font w:name="Calibri Light">
    <w:charset w:val="01"/>
    <w:family w:val="roman"/>
    <w:pitch w:val="variable"/>
  </w:font>
  <w:font w:name="Segoe UI">
    <w:charset w:val="01"/>
    <w:family w:val="roman"/>
    <w:pitch w:val="variable"/>
  </w:font>
  <w:font w:name="Garamond">
    <w:charset w:val="01"/>
    <w:family w:val="roman"/>
    <w:pitch w:val="variable"/>
  </w:font>
  <w:font w:name="Verdana">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Free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caps/>
        <w:color w:themeColor="accent1" w:val="4472C4"/>
      </w:rPr>
      <w:fldChar w:fldCharType="begin"/>
    </w:r>
    <w:r>
      <w:rPr>
        <w:caps/>
        <w:color w:themeColor="accent1" w:val="4472C4"/>
      </w:rPr>
      <w:instrText xml:space="preserve"> PAGE </w:instrText>
    </w:r>
    <w:r>
      <w:rPr>
        <w:caps/>
        <w:color w:themeColor="accent1" w:val="4472C4"/>
      </w:rPr>
      <w:fldChar w:fldCharType="separate"/>
    </w:r>
    <w:r>
      <w:rPr>
        <w:caps/>
        <w:color w:themeColor="accent1" w:val="4472C4"/>
      </w:rPr>
      <w:t>6</w:t>
    </w:r>
    <w:r>
      <w:rPr>
        <w:caps/>
        <w:color w:themeColor="accent1" w:val="4472C4"/>
      </w:rPr>
      <w:fldChar w:fldCharType="end"/>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caps/>
        <w:color w:themeColor="accent1" w:val="4472C4"/>
      </w:rPr>
      <w:fldChar w:fldCharType="begin"/>
    </w:r>
    <w:r>
      <w:rPr>
        <w:caps/>
        <w:color w:themeColor="accent1" w:val="4472C4"/>
      </w:rPr>
      <w:instrText xml:space="preserve"> PAGE </w:instrText>
    </w:r>
    <w:r>
      <w:rPr>
        <w:caps/>
        <w:color w:themeColor="accent1" w:val="4472C4"/>
      </w:rPr>
      <w:fldChar w:fldCharType="separate"/>
    </w:r>
    <w:r>
      <w:rPr>
        <w:caps/>
        <w:color w:themeColor="accent1" w:val="4472C4"/>
      </w:rPr>
      <w:t>5</w:t>
    </w:r>
    <w:r>
      <w:rPr>
        <w:caps/>
        <w:color w:themeColor="accent1" w:val="4472C4"/>
      </w:rPr>
      <w:fldChar w:fldCharType="end"/>
    </w:r>
  </w:p>
  <w:p>
    <w:pPr>
      <w:pStyle w:val="Footer"/>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caps/>
        <w:color w:themeColor="accent1" w:val="4472C4"/>
      </w:rPr>
      <w:fldChar w:fldCharType="begin"/>
    </w:r>
    <w:r>
      <w:rPr>
        <w:caps/>
        <w:color w:themeColor="accent1" w:val="4472C4"/>
      </w:rPr>
      <w:instrText xml:space="preserve"> PAGE </w:instrText>
    </w:r>
    <w:r>
      <w:rPr>
        <w:caps/>
        <w:color w:themeColor="accent1" w:val="4472C4"/>
      </w:rPr>
      <w:fldChar w:fldCharType="separate"/>
    </w:r>
    <w:r>
      <w:rPr>
        <w:caps/>
        <w:color w:themeColor="accent1" w:val="4472C4"/>
      </w:rPr>
      <w:t>1</w:t>
    </w:r>
    <w:r>
      <w:rPr>
        <w:caps/>
        <w:color w:themeColor="accent1" w:val="4472C4"/>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284" w:hanging="0"/>
      </w:pPr>
      <w:rPr>
        <w:color w:val="auto"/>
      </w:rPr>
    </w:lvl>
    <w:lvl w:ilvl="1">
      <w:start w:val="1"/>
      <w:numFmt w:val="upperLetter"/>
      <w:lvlText w:val="%2."/>
      <w:lvlJc w:val="left"/>
      <w:pPr>
        <w:tabs>
          <w:tab w:val="num" w:pos="0"/>
        </w:tabs>
        <w:ind w:left="720" w:hanging="0"/>
      </w:pPr>
      <w:rPr/>
    </w:lvl>
    <w:lvl w:ilvl="2">
      <w:start w:val="1"/>
      <w:pStyle w:val="Heading3"/>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upperLetter"/>
      <w:suff w:val="space"/>
      <w:lvlText w:val="%1."/>
      <w:lvlJc w:val="left"/>
      <w:pPr>
        <w:tabs>
          <w:tab w:val="num" w:pos="0"/>
        </w:tabs>
        <w:ind w:left="357" w:hanging="357"/>
      </w:pPr>
      <w:rPr/>
    </w:lvl>
    <w:lvl w:ilvl="1">
      <w:start w:val="1"/>
      <w:numFmt w:val="decimal"/>
      <w:suff w:val="space"/>
      <w:lvlText w:val="%1.%2"/>
      <w:lvlJc w:val="left"/>
      <w:pPr>
        <w:tabs>
          <w:tab w:val="num" w:pos="0"/>
        </w:tabs>
        <w:ind w:left="357" w:hanging="357"/>
      </w:pPr>
      <w:rPr/>
    </w:lvl>
    <w:lvl w:ilvl="2">
      <w:start w:val="1"/>
      <w:numFmt w:val="lowerRoman"/>
      <w:lvlText w:val="%3)"/>
      <w:lvlJc w:val="left"/>
      <w:pPr>
        <w:tabs>
          <w:tab w:val="num" w:pos="0"/>
        </w:tabs>
        <w:ind w:left="357" w:hanging="357"/>
      </w:pPr>
      <w:rPr/>
    </w:lvl>
    <w:lvl w:ilvl="3">
      <w:start w:val="1"/>
      <w:numFmt w:val="decimal"/>
      <w:lvlText w:val="(%4)"/>
      <w:lvlJc w:val="left"/>
      <w:pPr>
        <w:tabs>
          <w:tab w:val="num" w:pos="0"/>
        </w:tabs>
        <w:ind w:left="357" w:hanging="357"/>
      </w:pPr>
      <w:rPr/>
    </w:lvl>
    <w:lvl w:ilvl="4">
      <w:start w:val="1"/>
      <w:numFmt w:val="lowerLetter"/>
      <w:lvlText w:val="(%5)"/>
      <w:lvlJc w:val="left"/>
      <w:pPr>
        <w:tabs>
          <w:tab w:val="num" w:pos="0"/>
        </w:tabs>
        <w:ind w:left="357" w:hanging="357"/>
      </w:pPr>
      <w:rPr/>
    </w:lvl>
    <w:lvl w:ilvl="5">
      <w:start w:val="1"/>
      <w:numFmt w:val="lowerRoman"/>
      <w:lvlText w:val="(%6)"/>
      <w:lvlJc w:val="left"/>
      <w:pPr>
        <w:tabs>
          <w:tab w:val="num" w:pos="0"/>
        </w:tabs>
        <w:ind w:left="357" w:hanging="357"/>
      </w:pPr>
      <w:rPr/>
    </w:lvl>
    <w:lvl w:ilvl="6">
      <w:start w:val="1"/>
      <w:numFmt w:val="decimal"/>
      <w:lvlText w:val="%7."/>
      <w:lvlJc w:val="left"/>
      <w:pPr>
        <w:tabs>
          <w:tab w:val="num" w:pos="0"/>
        </w:tabs>
        <w:ind w:left="357" w:hanging="357"/>
      </w:pPr>
      <w:rPr/>
    </w:lvl>
    <w:lvl w:ilvl="7">
      <w:start w:val="1"/>
      <w:numFmt w:val="lowerLetter"/>
      <w:lvlText w:val="%8."/>
      <w:lvlJc w:val="left"/>
      <w:pPr>
        <w:tabs>
          <w:tab w:val="num" w:pos="0"/>
        </w:tabs>
        <w:ind w:left="357" w:hanging="357"/>
      </w:pPr>
      <w:rPr/>
    </w:lvl>
    <w:lvl w:ilvl="8">
      <w:start w:val="1"/>
      <w:numFmt w:val="lowerRoman"/>
      <w:lvlText w:val="%9."/>
      <w:lvlJc w:val="left"/>
      <w:pPr>
        <w:tabs>
          <w:tab w:val="num" w:pos="0"/>
        </w:tabs>
        <w:ind w:left="357" w:hanging="357"/>
      </w:pPr>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cryptProviderType="rsaAES" w:cryptAlgorithmClass="hash" w:cryptAlgorithmType="typeAny" w:cryptAlgorithmSid="" w:cryptSpinCount="0" w:hash="" w:sal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4372"/>
    <w:pPr>
      <w:widowControl/>
      <w:suppressAutoHyphens w:val="true"/>
      <w:bidi w:val="0"/>
      <w:spacing w:before="0" w:after="0"/>
      <w:ind w:hanging="357" w:left="357"/>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ListParagraph"/>
    <w:next w:val="Normal"/>
    <w:link w:val="Heading1Char"/>
    <w:autoRedefine/>
    <w:uiPriority w:val="9"/>
    <w:qFormat/>
    <w:rsid w:val="00aa3c84"/>
    <w:pPr>
      <w:numPr>
        <w:ilvl w:val="0"/>
        <w:numId w:val="24"/>
      </w:numPr>
      <w:pBdr>
        <w:top w:val="single" w:sz="4" w:space="2" w:color="000000" w:themeColor="dark1"/>
        <w:left w:val="single" w:sz="4" w:space="4" w:color="000000" w:themeColor="dark1"/>
        <w:bottom w:val="single" w:sz="4" w:space="1" w:color="000000" w:themeColor="dark1"/>
        <w:right w:val="single" w:sz="4" w:space="4" w:color="000000" w:themeColor="dark1"/>
      </w:pBdr>
      <w:shd w:val="clear" w:color="auto" w:fill="385623" w:themeFill="accent6" w:themeFillShade="80"/>
      <w:outlineLvl w:val="0"/>
    </w:pPr>
    <w:rPr>
      <w:rFonts w:ascii="Garamond" w:hAnsi="Garamond" w:cs="Calibri" w:cstheme="minorHAnsi"/>
      <w:b/>
      <w:color w:themeColor="background1" w:val="FFFFFF"/>
      <w:sz w:val="24"/>
      <w:szCs w:val="24"/>
    </w:rPr>
  </w:style>
  <w:style w:type="paragraph" w:styleId="Heading2">
    <w:name w:val="Heading 2"/>
    <w:basedOn w:val="Heading1"/>
    <w:next w:val="Normal"/>
    <w:link w:val="Heading2Char"/>
    <w:autoRedefine/>
    <w:uiPriority w:val="9"/>
    <w:unhideWhenUsed/>
    <w:qFormat/>
    <w:rsid w:val="004d0316"/>
    <w:pPr>
      <w:pBdr>
        <w:top w:val="single" w:sz="4" w:space="1" w:color="000000" w:themeColor="dark1"/>
        <w:left w:val="single" w:sz="4" w:space="4" w:color="000000" w:themeColor="dark1"/>
        <w:bottom w:val="single" w:sz="4" w:space="2" w:color="000000" w:themeColor="dark1"/>
        <w:right w:val="single" w:sz="4" w:space="4" w:color="000000" w:themeColor="dark1"/>
      </w:pBdr>
      <w:shd w:val="clear" w:color="auto" w:fill="DAD5D0"/>
      <w:outlineLvl w:val="1"/>
    </w:pPr>
    <w:rPr>
      <w:color w:themeColor="text1" w:val="000000"/>
    </w:rPr>
  </w:style>
  <w:style w:type="paragraph" w:styleId="Heading3">
    <w:name w:val="Heading 3"/>
    <w:basedOn w:val="Normal"/>
    <w:next w:val="Normal"/>
    <w:link w:val="Heading3Char"/>
    <w:uiPriority w:val="9"/>
    <w:unhideWhenUsed/>
    <w:qFormat/>
    <w:rsid w:val="00161364"/>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themeColor="accent1" w:themeShade="bf" w:val="2F5496"/>
      <w:sz w:val="28"/>
      <w:szCs w:val="28"/>
    </w:rPr>
  </w:style>
  <w:style w:type="paragraph" w:styleId="Heading4">
    <w:name w:val="Heading 4"/>
    <w:basedOn w:val="Normal"/>
    <w:next w:val="Normal"/>
    <w:link w:val="Heading4Char"/>
    <w:uiPriority w:val="9"/>
    <w:unhideWhenUsed/>
    <w:qFormat/>
    <w:rsid w:val="00161364"/>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color w:themeColor="accent1" w:themeShade="bf" w:val="2F5496"/>
      <w:sz w:val="24"/>
      <w:szCs w:val="24"/>
    </w:rPr>
  </w:style>
  <w:style w:type="paragraph" w:styleId="Heading5">
    <w:name w:val="Heading 5"/>
    <w:basedOn w:val="Normal"/>
    <w:next w:val="Normal"/>
    <w:link w:val="Heading5Char"/>
    <w:uiPriority w:val="9"/>
    <w:unhideWhenUsed/>
    <w:qFormat/>
    <w:rsid w:val="00161364"/>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aps/>
      <w:color w:themeColor="accent1" w:themeShade="bf" w:val="2F5496"/>
    </w:rPr>
  </w:style>
  <w:style w:type="paragraph" w:styleId="Heading6">
    <w:name w:val="Heading 6"/>
    <w:basedOn w:val="Normal"/>
    <w:next w:val="Normal"/>
    <w:link w:val="Heading6Char"/>
    <w:uiPriority w:val="9"/>
    <w:unhideWhenUsed/>
    <w:qFormat/>
    <w:rsid w:val="00161364"/>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i/>
      <w:iCs/>
      <w:caps/>
      <w:color w:themeColor="accent1" w:themeShade="80" w:val="1F3864"/>
    </w:rPr>
  </w:style>
  <w:style w:type="paragraph" w:styleId="Heading7">
    <w:name w:val="Heading 7"/>
    <w:basedOn w:val="Normal"/>
    <w:next w:val="Normal"/>
    <w:link w:val="Heading7Char"/>
    <w:uiPriority w:val="9"/>
    <w:unhideWhenUsed/>
    <w:qFormat/>
    <w:rsid w:val="00161364"/>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b/>
      <w:bCs/>
      <w:color w:themeColor="accent1" w:themeShade="80" w:val="1F3864"/>
    </w:rPr>
  </w:style>
  <w:style w:type="paragraph" w:styleId="Heading8">
    <w:name w:val="Heading 8"/>
    <w:basedOn w:val="Normal"/>
    <w:next w:val="Normal"/>
    <w:link w:val="Heading8Char"/>
    <w:uiPriority w:val="9"/>
    <w:unhideWhenUsed/>
    <w:qFormat/>
    <w:rsid w:val="00161364"/>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b/>
      <w:bCs/>
      <w:i/>
      <w:iCs/>
      <w:color w:themeColor="accent1" w:themeShade="80" w:val="1F3864"/>
    </w:rPr>
  </w:style>
  <w:style w:type="paragraph" w:styleId="Heading9">
    <w:name w:val="Heading 9"/>
    <w:basedOn w:val="Normal"/>
    <w:next w:val="Normal"/>
    <w:link w:val="Heading9Char"/>
    <w:uiPriority w:val="9"/>
    <w:semiHidden/>
    <w:unhideWhenUsed/>
    <w:qFormat/>
    <w:rsid w:val="00161364"/>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accent1" w:themeShade="80" w:val="1F386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078f"/>
    <w:rPr/>
  </w:style>
  <w:style w:type="character" w:styleId="FooterChar" w:customStyle="1">
    <w:name w:val="Footer Char"/>
    <w:basedOn w:val="DefaultParagraphFont"/>
    <w:link w:val="Footer"/>
    <w:uiPriority w:val="99"/>
    <w:qFormat/>
    <w:rsid w:val="0071078f"/>
    <w:rPr/>
  </w:style>
  <w:style w:type="character" w:styleId="BalloonTextChar" w:customStyle="1">
    <w:name w:val="Balloon Text Char"/>
    <w:basedOn w:val="DefaultParagraphFont"/>
    <w:link w:val="BalloonText"/>
    <w:uiPriority w:val="99"/>
    <w:semiHidden/>
    <w:qFormat/>
    <w:rsid w:val="0071078f"/>
    <w:rPr>
      <w:rFonts w:ascii="Segoe UI" w:hAnsi="Segoe UI" w:cs="Segoe UI"/>
      <w:sz w:val="18"/>
      <w:szCs w:val="18"/>
    </w:rPr>
  </w:style>
  <w:style w:type="character" w:styleId="Hyperlink">
    <w:name w:val="Hyperlink"/>
    <w:basedOn w:val="DefaultParagraphFont"/>
    <w:uiPriority w:val="99"/>
    <w:unhideWhenUsed/>
    <w:rsid w:val="0077185f"/>
    <w:rPr>
      <w:color w:val="0000FF"/>
      <w:u w:val="single"/>
    </w:rPr>
  </w:style>
  <w:style w:type="character" w:styleId="Heading1Char" w:customStyle="1">
    <w:name w:val="Heading 1 Char"/>
    <w:basedOn w:val="DefaultParagraphFont"/>
    <w:link w:val="Heading1"/>
    <w:uiPriority w:val="9"/>
    <w:qFormat/>
    <w:rsid w:val="00aa3c84"/>
    <w:rPr>
      <w:rFonts w:ascii="Garamond" w:hAnsi="Garamond" w:cs="Calibri" w:cstheme="minorHAnsi"/>
      <w:b/>
      <w:color w:themeColor="background1" w:val="FFFFFF"/>
      <w:sz w:val="24"/>
      <w:szCs w:val="24"/>
      <w:shd w:fill="385623" w:val="clear"/>
    </w:rPr>
  </w:style>
  <w:style w:type="character" w:styleId="Heading2Char" w:customStyle="1">
    <w:name w:val="Heading 2 Char"/>
    <w:basedOn w:val="DefaultParagraphFont"/>
    <w:link w:val="Heading2"/>
    <w:uiPriority w:val="9"/>
    <w:qFormat/>
    <w:rsid w:val="004d0316"/>
    <w:rPr>
      <w:rFonts w:ascii="Garamond" w:hAnsi="Garamond" w:cs="Calibri" w:cstheme="minorHAnsi"/>
      <w:b/>
      <w:color w:themeColor="text1" w:val="000000"/>
      <w:sz w:val="24"/>
      <w:szCs w:val="24"/>
      <w:shd w:fill="DAD5D0" w:val="clear"/>
    </w:rPr>
  </w:style>
  <w:style w:type="character" w:styleId="Heading3Char" w:customStyle="1">
    <w:name w:val="Heading 3 Char"/>
    <w:basedOn w:val="DefaultParagraphFont"/>
    <w:link w:val="Heading3"/>
    <w:uiPriority w:val="9"/>
    <w:qFormat/>
    <w:rsid w:val="00161364"/>
    <w:rPr>
      <w:rFonts w:ascii="Calibri Light" w:hAnsi="Calibri Light" w:eastAsia="" w:cs="" w:asciiTheme="majorHAnsi" w:cstheme="majorBidi" w:eastAsiaTheme="majorEastAsia" w:hAnsiTheme="majorHAnsi"/>
      <w:color w:themeColor="accent1" w:themeShade="bf" w:val="2F5496"/>
      <w:sz w:val="28"/>
      <w:szCs w:val="28"/>
    </w:rPr>
  </w:style>
  <w:style w:type="character" w:styleId="Heading4Char" w:customStyle="1">
    <w:name w:val="Heading 4 Char"/>
    <w:basedOn w:val="DefaultParagraphFont"/>
    <w:link w:val="Heading4"/>
    <w:uiPriority w:val="9"/>
    <w:qFormat/>
    <w:rsid w:val="00161364"/>
    <w:rPr>
      <w:rFonts w:ascii="Calibri Light" w:hAnsi="Calibri Light" w:eastAsia="" w:cs="" w:asciiTheme="majorHAnsi" w:cstheme="majorBidi" w:eastAsiaTheme="majorEastAsia" w:hAnsiTheme="majorHAnsi"/>
      <w:color w:themeColor="accent1" w:themeShade="bf" w:val="2F5496"/>
      <w:sz w:val="24"/>
      <w:szCs w:val="24"/>
    </w:rPr>
  </w:style>
  <w:style w:type="character" w:styleId="Heading5Char" w:customStyle="1">
    <w:name w:val="Heading 5 Char"/>
    <w:basedOn w:val="DefaultParagraphFont"/>
    <w:link w:val="Heading5"/>
    <w:uiPriority w:val="9"/>
    <w:qFormat/>
    <w:rsid w:val="00161364"/>
    <w:rPr>
      <w:rFonts w:ascii="Calibri Light" w:hAnsi="Calibri Light" w:eastAsia="" w:cs="" w:asciiTheme="majorHAnsi" w:cstheme="majorBidi" w:eastAsiaTheme="majorEastAsia" w:hAnsiTheme="majorHAnsi"/>
      <w:caps/>
      <w:color w:themeColor="accent1" w:themeShade="bf" w:val="2F5496"/>
    </w:rPr>
  </w:style>
  <w:style w:type="character" w:styleId="Heading6Char" w:customStyle="1">
    <w:name w:val="Heading 6 Char"/>
    <w:basedOn w:val="DefaultParagraphFont"/>
    <w:link w:val="Heading6"/>
    <w:uiPriority w:val="9"/>
    <w:qFormat/>
    <w:rsid w:val="00161364"/>
    <w:rPr>
      <w:rFonts w:ascii="Calibri Light" w:hAnsi="Calibri Light" w:eastAsia="" w:cs="" w:asciiTheme="majorHAnsi" w:cstheme="majorBidi" w:eastAsiaTheme="majorEastAsia" w:hAnsiTheme="majorHAnsi"/>
      <w:i/>
      <w:iCs/>
      <w:caps/>
      <w:color w:themeColor="accent1" w:themeShade="80" w:val="1F3864"/>
    </w:rPr>
  </w:style>
  <w:style w:type="character" w:styleId="Heading7Char" w:customStyle="1">
    <w:name w:val="Heading 7 Char"/>
    <w:basedOn w:val="DefaultParagraphFont"/>
    <w:link w:val="Heading7"/>
    <w:uiPriority w:val="9"/>
    <w:qFormat/>
    <w:rsid w:val="00161364"/>
    <w:rPr>
      <w:rFonts w:ascii="Calibri Light" w:hAnsi="Calibri Light" w:eastAsia="" w:cs="" w:asciiTheme="majorHAnsi" w:cstheme="majorBidi" w:eastAsiaTheme="majorEastAsia" w:hAnsiTheme="majorHAnsi"/>
      <w:b/>
      <w:bCs/>
      <w:color w:themeColor="accent1" w:themeShade="80" w:val="1F3864"/>
    </w:rPr>
  </w:style>
  <w:style w:type="character" w:styleId="Heading8Char" w:customStyle="1">
    <w:name w:val="Heading 8 Char"/>
    <w:basedOn w:val="DefaultParagraphFont"/>
    <w:link w:val="Heading8"/>
    <w:uiPriority w:val="9"/>
    <w:qFormat/>
    <w:rsid w:val="00161364"/>
    <w:rPr>
      <w:rFonts w:ascii="Calibri Light" w:hAnsi="Calibri Light" w:eastAsia="" w:cs="" w:asciiTheme="majorHAnsi" w:cstheme="majorBidi" w:eastAsiaTheme="majorEastAsia" w:hAnsiTheme="majorHAnsi"/>
      <w:b/>
      <w:bCs/>
      <w:i/>
      <w:iCs/>
      <w:color w:themeColor="accent1" w:themeShade="80" w:val="1F3864"/>
    </w:rPr>
  </w:style>
  <w:style w:type="character" w:styleId="Heading9Char" w:customStyle="1">
    <w:name w:val="Heading 9 Char"/>
    <w:basedOn w:val="DefaultParagraphFont"/>
    <w:link w:val="Heading9"/>
    <w:uiPriority w:val="9"/>
    <w:semiHidden/>
    <w:qFormat/>
    <w:rsid w:val="00161364"/>
    <w:rPr>
      <w:rFonts w:ascii="Calibri Light" w:hAnsi="Calibri Light" w:eastAsia="" w:cs="" w:asciiTheme="majorHAnsi" w:cstheme="majorBidi" w:eastAsiaTheme="majorEastAsia" w:hAnsiTheme="majorHAnsi"/>
      <w:i/>
      <w:iCs/>
      <w:color w:themeColor="accent1" w:themeShade="80" w:val="1F3864"/>
    </w:rPr>
  </w:style>
  <w:style w:type="character" w:styleId="annotationreference">
    <w:name w:val="annotation reference"/>
    <w:basedOn w:val="DefaultParagraphFont"/>
    <w:uiPriority w:val="99"/>
    <w:semiHidden/>
    <w:unhideWhenUsed/>
    <w:qFormat/>
    <w:rsid w:val="00161364"/>
    <w:rPr>
      <w:sz w:val="16"/>
      <w:szCs w:val="16"/>
    </w:rPr>
  </w:style>
  <w:style w:type="character" w:styleId="CommentTextChar" w:customStyle="1">
    <w:name w:val="Comment Text Char"/>
    <w:basedOn w:val="DefaultParagraphFont"/>
    <w:link w:val="AnnotationText"/>
    <w:uiPriority w:val="99"/>
    <w:qFormat/>
    <w:rsid w:val="00161364"/>
    <w:rPr>
      <w:rFonts w:eastAsia="" w:eastAsiaTheme="minorEastAsia"/>
      <w:sz w:val="20"/>
      <w:szCs w:val="20"/>
    </w:rPr>
  </w:style>
  <w:style w:type="character" w:styleId="CommentSubjectChar" w:customStyle="1">
    <w:name w:val="Comment Subject Char"/>
    <w:basedOn w:val="CommentTextChar"/>
    <w:link w:val="annotationsubject"/>
    <w:uiPriority w:val="99"/>
    <w:semiHidden/>
    <w:qFormat/>
    <w:rsid w:val="00946e7c"/>
    <w:rPr>
      <w:rFonts w:eastAsia="" w:eastAsiaTheme="minorEastAsia"/>
      <w:b/>
      <w:bCs/>
      <w:sz w:val="20"/>
      <w:szCs w:val="20"/>
    </w:rPr>
  </w:style>
  <w:style w:type="character" w:styleId="FootnoteTextChar" w:customStyle="1">
    <w:name w:val="Footnote Text Char"/>
    <w:basedOn w:val="DefaultParagraphFont"/>
    <w:link w:val="FootnoteText"/>
    <w:uiPriority w:val="99"/>
    <w:semiHidden/>
    <w:qFormat/>
    <w:rsid w:val="00c1004e"/>
    <w:rPr>
      <w:sz w:val="20"/>
      <w:szCs w:val="20"/>
    </w:rPr>
  </w:style>
  <w:style w:type="character" w:styleId="FootnoteCharacters">
    <w:name w:val="Footnote Characters"/>
    <w:uiPriority w:val="99"/>
    <w:semiHidden/>
    <w:unhideWhenUsed/>
    <w:qFormat/>
    <w:rsid w:val="00c1004e"/>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e9233f"/>
    <w:rPr>
      <w:sz w:val="20"/>
      <w:szCs w:val="20"/>
    </w:rPr>
  </w:style>
  <w:style w:type="character" w:styleId="EndnoteCharacters">
    <w:name w:val="Endnote Characters"/>
    <w:uiPriority w:val="99"/>
    <w:semiHidden/>
    <w:unhideWhenUsed/>
    <w:qFormat/>
    <w:rsid w:val="00e9233f"/>
    <w:rPr>
      <w:vertAlign w:val="superscript"/>
    </w:rPr>
  </w:style>
  <w:style w:type="character" w:styleId="EndnoteReference">
    <w:name w:val="Endnote Reference"/>
    <w:rPr>
      <w:vertAlign w:val="superscript"/>
    </w:rPr>
  </w:style>
  <w:style w:type="character" w:styleId="NoSpacingChar" w:customStyle="1">
    <w:name w:val="No Spacing Char"/>
    <w:link w:val="NoSpacing"/>
    <w:uiPriority w:val="1"/>
    <w:qFormat/>
    <w:locked/>
    <w:rsid w:val="00861be6"/>
    <w:rPr>
      <w:rFonts w:ascii="Garamond" w:hAnsi="Garamond" w:eastAsia="Calibri" w:cs="Times New Roman"/>
      <w:color w:themeColor="text1" w:val="000000"/>
      <w:sz w:val="24"/>
      <w:szCs w:val="28"/>
    </w:rPr>
  </w:style>
  <w:style w:type="character" w:styleId="BodyTextChar" w:customStyle="1">
    <w:name w:val="Body Text Char"/>
    <w:basedOn w:val="DefaultParagraphFont"/>
    <w:uiPriority w:val="1"/>
    <w:qFormat/>
    <w:rsid w:val="0078295b"/>
    <w:rPr>
      <w:rFonts w:ascii="Verdana" w:hAnsi="Verdana" w:eastAsia="Verdana" w:cs="Verdana"/>
      <w:sz w:val="20"/>
      <w:szCs w:val="20"/>
      <w:lang w:eastAsia="en-GB" w:bidi="en-GB"/>
    </w:rPr>
  </w:style>
  <w:style w:type="character" w:styleId="FollowedHyperlink">
    <w:name w:val="FollowedHyperlink"/>
    <w:basedOn w:val="DefaultParagraphFont"/>
    <w:uiPriority w:val="99"/>
    <w:semiHidden/>
    <w:unhideWhenUsed/>
    <w:rsid w:val="00df1d34"/>
    <w:rPr>
      <w:color w:themeColor="followedHyperlink" w:val="954F72"/>
      <w:u w:val="single"/>
    </w:rPr>
  </w:style>
  <w:style w:type="character" w:styleId="UnresolvedMention">
    <w:name w:val="Unresolved Mention"/>
    <w:basedOn w:val="DefaultParagraphFont"/>
    <w:uiPriority w:val="99"/>
    <w:semiHidden/>
    <w:unhideWhenUsed/>
    <w:qFormat/>
    <w:rsid w:val="0044242b"/>
    <w:rPr>
      <w:color w:val="605E5C"/>
      <w:shd w:fill="E1DFDD" w:val="clear"/>
    </w:rPr>
  </w:style>
  <w:style w:type="character" w:styleId="Mention">
    <w:name w:val="Mention"/>
    <w:basedOn w:val="DefaultParagraphFont"/>
    <w:uiPriority w:val="99"/>
    <w:unhideWhenUsed/>
    <w:qFormat/>
    <w:rsid w:val="00ee4f04"/>
    <w:rPr>
      <w:color w:val="2B579A"/>
      <w:shd w:fill="E1DFDD" w:val="clear"/>
    </w:rPr>
  </w:style>
  <w:style w:type="character" w:styleId="PlaceholderText">
    <w:name w:val="Placeholder Text"/>
    <w:basedOn w:val="DefaultParagraphFont"/>
    <w:uiPriority w:val="99"/>
    <w:semiHidden/>
    <w:qFormat/>
    <w:rsid w:val="000430bf"/>
    <w:rPr>
      <w:color w:val="808080"/>
    </w:rPr>
  </w:style>
  <w:style w:type="character" w:styleId="TitleChar" w:customStyle="1">
    <w:name w:val="Title Char"/>
    <w:basedOn w:val="DefaultParagraphFont"/>
    <w:link w:val="Title"/>
    <w:uiPriority w:val="10"/>
    <w:qFormat/>
    <w:rsid w:val="00a343ea"/>
    <w:rPr>
      <w:rFonts w:ascii="Garamond" w:hAnsi="Garamond" w:cs="Calibri" w:cstheme="minorHAns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1"/>
    <w:qFormat/>
    <w:rsid w:val="0078295b"/>
    <w:pPr>
      <w:widowControl w:val="false"/>
    </w:pPr>
    <w:rPr>
      <w:rFonts w:ascii="Verdana" w:hAnsi="Verdana" w:eastAsia="Verdana" w:cs="Verdana"/>
      <w:sz w:val="20"/>
      <w:szCs w:val="20"/>
      <w:lang w:eastAsia="en-GB" w:bidi="en-GB"/>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71078f"/>
    <w:pPr>
      <w:tabs>
        <w:tab w:val="clear" w:pos="720"/>
        <w:tab w:val="center" w:pos="4513" w:leader="none"/>
        <w:tab w:val="right" w:pos="9026" w:leader="none"/>
      </w:tabs>
    </w:pPr>
    <w:rPr/>
  </w:style>
  <w:style w:type="paragraph" w:styleId="Footer">
    <w:name w:val="Footer"/>
    <w:basedOn w:val="Normal"/>
    <w:link w:val="FooterChar"/>
    <w:uiPriority w:val="99"/>
    <w:unhideWhenUsed/>
    <w:rsid w:val="0071078f"/>
    <w:pPr>
      <w:tabs>
        <w:tab w:val="clear" w:pos="720"/>
        <w:tab w:val="center" w:pos="4513" w:leader="none"/>
        <w:tab w:val="right" w:pos="9026" w:leader="none"/>
      </w:tabs>
    </w:pPr>
    <w:rPr/>
  </w:style>
  <w:style w:type="paragraph" w:styleId="BalloonText">
    <w:name w:val="Balloon Text"/>
    <w:basedOn w:val="Normal"/>
    <w:link w:val="BalloonTextChar"/>
    <w:uiPriority w:val="99"/>
    <w:semiHidden/>
    <w:unhideWhenUsed/>
    <w:qFormat/>
    <w:rsid w:val="0071078f"/>
    <w:pPr/>
    <w:rPr>
      <w:rFonts w:ascii="Segoe UI" w:hAnsi="Segoe UI" w:cs="Segoe UI"/>
      <w:sz w:val="18"/>
      <w:szCs w:val="18"/>
    </w:rPr>
  </w:style>
  <w:style w:type="paragraph" w:styleId="ListParagraph">
    <w:name w:val="List Paragraph"/>
    <w:basedOn w:val="Normal"/>
    <w:uiPriority w:val="34"/>
    <w:qFormat/>
    <w:rsid w:val="0071078f"/>
    <w:pPr>
      <w:spacing w:before="0" w:after="0"/>
      <w:ind w:left="720"/>
      <w:contextualSpacing/>
    </w:pPr>
    <w:rPr/>
  </w:style>
  <w:style w:type="paragraph" w:styleId="subpara1" w:customStyle="1">
    <w:name w:val="subpara1"/>
    <w:basedOn w:val="Normal"/>
    <w:qFormat/>
    <w:rsid w:val="00c511e3"/>
    <w:pPr>
      <w:spacing w:beforeAutospacing="1" w:afterAutospacing="1"/>
    </w:pPr>
    <w:rPr>
      <w:rFonts w:ascii="Times New Roman" w:hAnsi="Times New Roman" w:eastAsia="Times New Roman" w:cs="Times New Roman"/>
      <w:sz w:val="24"/>
      <w:szCs w:val="24"/>
      <w:lang w:eastAsia="en-GB"/>
    </w:rPr>
  </w:style>
  <w:style w:type="paragraph" w:styleId="NormalWeb">
    <w:name w:val="Normal (Web)"/>
    <w:basedOn w:val="Normal"/>
    <w:uiPriority w:val="99"/>
    <w:semiHidden/>
    <w:unhideWhenUsed/>
    <w:qFormat/>
    <w:rsid w:val="00c511e3"/>
    <w:pPr>
      <w:spacing w:beforeAutospacing="1" w:afterAutospacing="1"/>
    </w:pPr>
    <w:rPr>
      <w:rFonts w:ascii="Times New Roman" w:hAnsi="Times New Roman" w:eastAsia="Times New Roman" w:cs="Times New Roman"/>
      <w:sz w:val="24"/>
      <w:szCs w:val="24"/>
      <w:lang w:eastAsia="en-GB"/>
    </w:rPr>
  </w:style>
  <w:style w:type="paragraph" w:styleId="subpara2" w:customStyle="1">
    <w:name w:val="subpara2"/>
    <w:basedOn w:val="Normal"/>
    <w:qFormat/>
    <w:rsid w:val="004d189f"/>
    <w:pPr>
      <w:spacing w:beforeAutospacing="1" w:afterAutospacing="1"/>
    </w:pPr>
    <w:rPr>
      <w:rFonts w:ascii="Times New Roman" w:hAnsi="Times New Roman" w:eastAsia="Times New Roman" w:cs="Times New Roman"/>
      <w:sz w:val="24"/>
      <w:szCs w:val="24"/>
      <w:lang w:eastAsia="en-GB"/>
    </w:rPr>
  </w:style>
  <w:style w:type="paragraph" w:styleId="AnnotationText">
    <w:name w:val="Annotation Text"/>
    <w:basedOn w:val="Normal"/>
    <w:link w:val="CommentTextChar"/>
    <w:uiPriority w:val="99"/>
    <w:unhideWhenUsed/>
    <w:rsid w:val="00161364"/>
    <w:pPr/>
    <w:rPr>
      <w:rFonts w:eastAsia="" w:eastAsiaTheme="minorEastAsia"/>
      <w:sz w:val="20"/>
      <w:szCs w:val="20"/>
    </w:rPr>
  </w:style>
  <w:style w:type="paragraph" w:styleId="annotationsubject">
    <w:name w:val="annotation subject"/>
    <w:basedOn w:val="AnnotationText"/>
    <w:next w:val="AnnotationText"/>
    <w:link w:val="CommentSubjectChar"/>
    <w:uiPriority w:val="99"/>
    <w:semiHidden/>
    <w:unhideWhenUsed/>
    <w:qFormat/>
    <w:rsid w:val="00946e7c"/>
    <w:pPr/>
    <w:rPr>
      <w:rFonts w:eastAsia="Calibri" w:eastAsiaTheme="minorHAnsi"/>
      <w:b/>
      <w:bCs/>
    </w:rPr>
  </w:style>
  <w:style w:type="paragraph" w:styleId="FootnoteText">
    <w:name w:val="Footnote Text"/>
    <w:basedOn w:val="Normal"/>
    <w:link w:val="FootnoteTextChar"/>
    <w:uiPriority w:val="99"/>
    <w:semiHidden/>
    <w:unhideWhenUsed/>
    <w:rsid w:val="00c1004e"/>
    <w:pPr/>
    <w:rPr>
      <w:sz w:val="20"/>
      <w:szCs w:val="20"/>
    </w:rPr>
  </w:style>
  <w:style w:type="paragraph" w:styleId="EndnoteText">
    <w:name w:val="Endnote Text"/>
    <w:basedOn w:val="Normal"/>
    <w:link w:val="EndnoteTextChar"/>
    <w:uiPriority w:val="99"/>
    <w:semiHidden/>
    <w:unhideWhenUsed/>
    <w:rsid w:val="00e9233f"/>
    <w:pPr/>
    <w:rPr>
      <w:sz w:val="20"/>
      <w:szCs w:val="20"/>
    </w:rPr>
  </w:style>
  <w:style w:type="paragraph" w:styleId="Revision">
    <w:name w:val="Revision"/>
    <w:uiPriority w:val="99"/>
    <w:semiHidden/>
    <w:qFormat/>
    <w:rsid w:val="0034591e"/>
    <w:pPr>
      <w:widowControl/>
      <w:suppressAutoHyphens w:val="true"/>
      <w:bidi w:val="0"/>
      <w:spacing w:before="0" w:after="0"/>
      <w:ind w:hanging="357" w:left="357"/>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NoSpacing">
    <w:name w:val="No Spacing"/>
    <w:basedOn w:val="Normal"/>
    <w:link w:val="NoSpacingChar"/>
    <w:autoRedefine/>
    <w:uiPriority w:val="1"/>
    <w:qFormat/>
    <w:rsid w:val="00861be6"/>
    <w:pPr>
      <w:pBdr>
        <w:top w:val="single" w:sz="4" w:space="1" w:color="000000" w:themeColor="dark1"/>
        <w:left w:val="single" w:sz="4" w:space="4" w:color="000000" w:themeColor="dark1"/>
        <w:bottom w:val="single" w:sz="4" w:space="1" w:color="000000" w:themeColor="dark1"/>
        <w:right w:val="single" w:sz="4" w:space="4" w:color="000000" w:themeColor="dark1"/>
      </w:pBdr>
      <w:spacing w:before="0" w:after="0"/>
      <w:ind w:hanging="0" w:left="0"/>
      <w:contextualSpacing/>
    </w:pPr>
    <w:rPr>
      <w:rFonts w:ascii="Garamond" w:hAnsi="Garamond" w:eastAsia="Calibri" w:cs="Times New Roman"/>
      <w:color w:themeColor="text1" w:val="000000"/>
      <w:sz w:val="24"/>
      <w:szCs w:val="28"/>
    </w:rPr>
  </w:style>
  <w:style w:type="paragraph" w:styleId="Title">
    <w:name w:val="Title"/>
    <w:basedOn w:val="Normal"/>
    <w:next w:val="Normal"/>
    <w:link w:val="TitleChar"/>
    <w:uiPriority w:val="10"/>
    <w:qFormat/>
    <w:rsid w:val="00a343ea"/>
    <w:pPr/>
    <w:rPr>
      <w:rFonts w:ascii="Garamond" w:hAnsi="Garamond" w:cs="Calibri" w:cstheme="minorHAnsi"/>
      <w:b/>
      <w:bCs/>
      <w:sz w:val="28"/>
      <w:szCs w:val="28"/>
    </w:rPr>
  </w:style>
  <w:style w:type="numbering" w:styleId="NoList" w:default="1">
    <w:name w:val="No List"/>
    <w:uiPriority w:val="99"/>
    <w:semiHidden/>
    <w:unhideWhenUsed/>
    <w:qFormat/>
  </w:style>
  <w:style w:type="numbering" w:styleId="PolicyStyle" w:customStyle="1">
    <w:name w:val="Policy Style"/>
    <w:uiPriority w:val="99"/>
    <w:qFormat/>
    <w:rsid w:val="00546a54"/>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1078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6ColourfulAccent5">
    <w:name w:val="Grid Table 6 Colorful Accent 5"/>
    <w:basedOn w:val="TableNormal"/>
    <w:uiPriority w:val="51"/>
    <w:rsid w:val="00ec286c"/>
    <w:rPr>
      <w:color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uiPriority w:val="59"/>
    <w:rsid w:val="00aa4d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ccessiongroup.sharepoint.com/:w:/r/sites/CyberProject/Shared%20Documents/X%20Archive/Information%20Security%20Policy.docx?d=w9fa0eb691ad34278bc537a8860a906ad&amp;csf=1&amp;web=1&amp;e=F1OAOC"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Owner xmlns="1ec1d10b-b2b3-4965-b178-5628e6bf6c28">
      <UserInfo>
        <DisplayName>Jody Lawrence</DisplayName>
        <AccountId>13</AccountId>
        <AccountType/>
      </UserInfo>
    </Owner>
    <Author0 xmlns="1ec1d10b-b2b3-4965-b178-5628e6bf6c28">
      <UserInfo>
        <DisplayName>Shyam Pursnani</DisplayName>
        <AccountId>14</AccountId>
        <AccountType/>
      </UserInfo>
    </Author0>
    <DocType xmlns="1ec1d10b-b2b3-4965-b178-5628e6bf6c28">Policy</DocType>
    <Status xmlns="1ec1d10b-b2b3-4965-b178-5628e6bf6c28">Backlog</Status>
    <Priority xmlns="1ec1d10b-b2b3-4965-b178-5628e6bf6c28">Highest</Priority>
    <Notes_x002f_Actions xmlns="1ec1d10b-b2b3-4965-b178-5628e6bf6c28">Review and update</Notes_x002f_Actions>
    <ApprovedDate xmlns="1ec1d10b-b2b3-4965-b178-5628e6bf6c28">2022-06-01T07:00:00+00:00</ApprovedDate>
    <_Flow_SignoffStatus xmlns="1ec1d10b-b2b3-4965-b178-5628e6bf6c28" xsi:nil="true"/>
    <Reapproval xmlns="1ec1d10b-b2b3-4965-b178-5628e6bf6c28">December</Reapproval>
    <V xmlns="1ec1d10b-b2b3-4965-b178-5628e6bf6c28">0.1</V>
    <Classification xmlns="1ec1d10b-b2b3-4965-b178-5628e6bf6c28">General</Classification>
    <Publish xmlns="1ec1d10b-b2b3-4965-b178-5628e6bf6c28" xsi:nil="true"/>
    <KeyMilestone xmlns="1ec1d10b-b2b3-4965-b178-5628e6bf6c28">false</KeyMilestone>
    <CRP xmlns="1ec1d10b-b2b3-4965-b178-5628e6bf6c28">false</CRP>
    <TargetDate xmlns="1ec1d10b-b2b3-4965-b178-5628e6bf6c28" xsi:nil="true"/>
    <ActualDate xmlns="1ec1d10b-b2b3-4965-b178-5628e6bf6c2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84836611CD3C4083C4ABB154B56CAD" ma:contentTypeVersion="28" ma:contentTypeDescription="Create a new document." ma:contentTypeScope="" ma:versionID="19e58ad0265215afa0c618a9862464a5">
  <xsd:schema xmlns:xsd="http://www.w3.org/2001/XMLSchema" xmlns:xs="http://www.w3.org/2001/XMLSchema" xmlns:p="http://schemas.microsoft.com/office/2006/metadata/properties" xmlns:ns2="1ec1d10b-b2b3-4965-b178-5628e6bf6c28" xmlns:ns3="48aacdb2-262a-4dd2-9832-5772ff2b0fb8" targetNamespace="http://schemas.microsoft.com/office/2006/metadata/properties" ma:root="true" ma:fieldsID="ecdbdeef45bff2345c7561ec5c2f65c3" ns2:_="" ns3:_="">
    <xsd:import namespace="1ec1d10b-b2b3-4965-b178-5628e6bf6c28"/>
    <xsd:import namespace="48aacdb2-262a-4dd2-9832-5772ff2b0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Owner" minOccurs="0"/>
                <xsd:element ref="ns2:Author0" minOccurs="0"/>
                <xsd:element ref="ns2:DocType" minOccurs="0"/>
                <xsd:element ref="ns2:Status" minOccurs="0"/>
                <xsd:element ref="ns2:Priority" minOccurs="0"/>
                <xsd:element ref="ns2:Notes_x002f_Actions" minOccurs="0"/>
                <xsd:element ref="ns2:ApprovedDate" minOccurs="0"/>
                <xsd:element ref="ns2:_Flow_SignoffStatus" minOccurs="0"/>
                <xsd:element ref="ns2:Reapproval" minOccurs="0"/>
                <xsd:element ref="ns2:V" minOccurs="0"/>
                <xsd:element ref="ns2:Classification" minOccurs="0"/>
                <xsd:element ref="ns3:SharedWithUsers" minOccurs="0"/>
                <xsd:element ref="ns3:SharedWithDetails" minOccurs="0"/>
                <xsd:element ref="ns2:MediaServiceSearchProperties" minOccurs="0"/>
                <xsd:element ref="ns2:Publish" minOccurs="0"/>
                <xsd:element ref="ns2:CRP" minOccurs="0"/>
                <xsd:element ref="ns2:TargetDate" minOccurs="0"/>
                <xsd:element ref="ns2:ActualDate" minOccurs="0"/>
                <xsd:element ref="ns2:KeyMilestone"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1d10b-b2b3-4965-b178-5628e6bf6c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Owner" ma:index="11" nillable="true" ma:displayName="Owner" ma:description="Document owner responsible for content and management of this document"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0" ma:index="12" nillable="true" ma:displayName="Author" ma:description="Person who wrote document and is responsible for on going updates"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Type" ma:index="13" nillable="true" ma:displayName="Doc Type" ma:description="Type of Document" ma:format="Dropdown" ma:internalName="DocType">
      <xsd:simpleType>
        <xsd:restriction base="dms:Choice">
          <xsd:enumeration value="Design"/>
          <xsd:enumeration value="Form"/>
          <xsd:enumeration value="Framework"/>
          <xsd:enumeration value="Guide"/>
          <xsd:enumeration value="List"/>
          <xsd:enumeration value="Plan"/>
          <xsd:enumeration value="Playbook"/>
          <xsd:enumeration value="Policy"/>
          <xsd:enumeration value="Procedure"/>
          <xsd:enumeration value="Project"/>
          <xsd:enumeration value="RACI"/>
          <xsd:enumeration value="Requirements"/>
          <xsd:enumeration value="Template"/>
          <xsd:enumeration value="User Guide"/>
        </xsd:restriction>
      </xsd:simpleType>
    </xsd:element>
    <xsd:element name="Status" ma:index="14" nillable="true" ma:displayName="Status" ma:default="Backlog" ma:description="Status update, reflecting what stage has been reached. Start with Backlog and finish with Approved/Sign Off&#10;" ma:format="Dropdown" ma:internalName="Status">
      <xsd:simpleType>
        <xsd:restriction base="dms:Choice">
          <xsd:enumeration value="Complete"/>
          <xsd:enumeration value="CTO Sign Off"/>
          <xsd:enumeration value="Final Review"/>
          <xsd:enumeration value="In Review"/>
          <xsd:enumeration value="In Progress"/>
          <xsd:enumeration value="Backlog"/>
          <xsd:enumeration value="Issue"/>
          <xsd:enumeration value="On Hold"/>
          <xsd:enumeration value="Sign Off"/>
          <xsd:enumeration value="Approved"/>
          <xsd:enumeration value="Published"/>
        </xsd:restriction>
      </xsd:simpleType>
    </xsd:element>
    <xsd:element name="Priority" ma:index="15" nillable="true" ma:displayName="Priority" ma:description="Priority level for completion or importance of document" ma:format="Dropdown" ma:internalName="Priority">
      <xsd:simpleType>
        <xsd:restriction base="dms:Choice">
          <xsd:enumeration value="Highest"/>
          <xsd:enumeration value="High"/>
          <xsd:enumeration value="Medium"/>
          <xsd:enumeration value="Low"/>
          <xsd:enumeration value="Lowest"/>
        </xsd:restriction>
      </xsd:simpleType>
    </xsd:element>
    <xsd:element name="Notes_x002f_Actions" ma:index="16" nillable="true" ma:displayName="Notes/Actions" ma:default="Review" ma:description="Project notes and actions" ma:format="Dropdown" ma:internalName="Notes_x002f_Actions">
      <xsd:simpleType>
        <xsd:restriction base="dms:Note">
          <xsd:maxLength value="255"/>
        </xsd:restriction>
      </xsd:simpleType>
    </xsd:element>
    <xsd:element name="ApprovedDate" ma:index="17" nillable="true" ma:displayName="Approved" ma:description="When was this document approved" ma:format="DateOnly" ma:internalName="ApprovedDate">
      <xsd:simpleType>
        <xsd:restriction base="dms:DateTime"/>
      </xsd:simpleType>
    </xsd:element>
    <xsd:element name="_Flow_SignoffStatus" ma:index="18" nillable="true" ma:displayName="Sign-off status" ma:internalName="Sign_x002d_off_x0020_status">
      <xsd:simpleType>
        <xsd:restriction base="dms:Text"/>
      </xsd:simpleType>
    </xsd:element>
    <xsd:element name="Reapproval" ma:index="19" nillable="true" ma:displayName="Reapproval" ma:description="When does document need to be next reviewed and approved" ma:format="Dropdown" ma:internalName="Reapproval">
      <xsd:simpleType>
        <xsd:restriction base="dms:Choice">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enumeration value="January"/>
          <xsd:enumeration value="N / A"/>
        </xsd:restriction>
      </xsd:simpleType>
    </xsd:element>
    <xsd:element name="V" ma:index="20" nillable="true" ma:displayName="Copy" ma:default="0.1" ma:description="Document version number (main version)" ma:format="Dropdown" ma:internalName="V">
      <xsd:simpleType>
        <xsd:restriction base="dms:Text">
          <xsd:maxLength value="255"/>
        </xsd:restriction>
      </xsd:simpleType>
    </xsd:element>
    <xsd:element name="Classification" ma:index="21" nillable="true" ma:displayName="Classification" ma:default="General" ma:description="Data Classification" ma:format="Dropdown" ma:internalName="Classification">
      <xsd:simpleType>
        <xsd:restriction base="dms:Choice">
          <xsd:enumeration value="Public"/>
          <xsd:enumeration value="General"/>
          <xsd:enumeration value="Classified"/>
          <xsd:enumeration value="Restricted"/>
          <xsd:enumeration value="Internal"/>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ublish" ma:index="25" nillable="true" ma:displayName="Publish" ma:description="Target month for publication" ma:format="Dropdown" ma:internalName="Publish">
      <xsd:simpleType>
        <xsd:restriction base="dms:Choice">
          <xsd:enumeration value="January"/>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enumeration value="N/A"/>
          <xsd:enumeration value="TBD"/>
        </xsd:restriction>
      </xsd:simpleType>
    </xsd:element>
    <xsd:element name="CRP" ma:index="26" nillable="true" ma:displayName="CRP" ma:default="0" ma:description="Is this document required as part of Cyber Response Plan" ma:format="Dropdown" ma:internalName="CRP">
      <xsd:simpleType>
        <xsd:restriction base="dms:Boolean"/>
      </xsd:simpleType>
    </xsd:element>
    <xsd:element name="TargetDate" ma:index="27" nillable="true" ma:displayName="Target Date" ma:description="Target date for task/deliverable completion " ma:format="DateOnly" ma:internalName="TargetDate">
      <xsd:simpleType>
        <xsd:restriction base="dms:DateTime"/>
      </xsd:simpleType>
    </xsd:element>
    <xsd:element name="ActualDate" ma:index="28" nillable="true" ma:displayName="Actual Date" ma:description="Date task/deliverable completed" ma:format="DateOnly" ma:internalName="ActualDate">
      <xsd:simpleType>
        <xsd:restriction base="dms:DateTime"/>
      </xsd:simpleType>
    </xsd:element>
    <xsd:element name="KeyMilestone" ma:index="29" nillable="true" ma:displayName="Key Milestone" ma:default="0" ma:description="Is this item/deliverable a key project milestone ?" ma:format="Dropdown" ma:internalName="KeyMilestone">
      <xsd:simpleType>
        <xsd:restriction base="dms:Boolean"/>
      </xsd:simpleType>
    </xsd:element>
    <xsd:element name="MediaServiceDateTaken" ma:index="30" nillable="true" ma:displayName="MediaServiceDateTaken" ma:hidden="true" ma:indexed="true" ma:internalName="MediaServiceDateTaken"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LengthInSeconds" ma:index="3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aacdb2-262a-4dd2-9832-5772ff2b0fb8"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E3BFD5-5CE9-40BE-B22C-3CFFDC0B3DEE}">
  <ds:schemaRefs>
    <ds:schemaRef ds:uri="http://schemas.microsoft.com/office/2006/metadata/properties"/>
    <ds:schemaRef ds:uri="http://schemas.microsoft.com/office/infopath/2007/PartnerControls"/>
    <ds:schemaRef ds:uri="1ec1d10b-b2b3-4965-b178-5628e6bf6c28"/>
  </ds:schemaRefs>
</ds:datastoreItem>
</file>

<file path=customXml/itemProps2.xml><?xml version="1.0" encoding="utf-8"?>
<ds:datastoreItem xmlns:ds="http://schemas.openxmlformats.org/officeDocument/2006/customXml" ds:itemID="{5DECC1E4-AFED-41E8-8A7D-282F53A2F9E2}">
  <ds:schemaRefs>
    <ds:schemaRef ds:uri="http://schemas.openxmlformats.org/officeDocument/2006/bibliography"/>
  </ds:schemaRefs>
</ds:datastoreItem>
</file>

<file path=customXml/itemProps3.xml><?xml version="1.0" encoding="utf-8"?>
<ds:datastoreItem xmlns:ds="http://schemas.openxmlformats.org/officeDocument/2006/customXml" ds:itemID="{C99BE307-9817-4817-88E3-A1A99F054A13}">
  <ds:schemaRefs>
    <ds:schemaRef ds:uri="http://schemas.microsoft.com/sharepoint/v3/contenttype/forms"/>
  </ds:schemaRefs>
</ds:datastoreItem>
</file>

<file path=customXml/itemProps4.xml><?xml version="1.0" encoding="utf-8"?>
<ds:datastoreItem xmlns:ds="http://schemas.openxmlformats.org/officeDocument/2006/customXml" ds:itemID="{7AF4347F-AD55-4DC6-8448-F243A8914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1d10b-b2b3-4965-b178-5628e6bf6c28"/>
    <ds:schemaRef ds:uri="48aacdb2-262a-4dd2-9832-5772ff2b0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6</Pages>
  <Words>1676</Words>
  <Characters>9675</Characters>
  <CharactersWithSpaces>11088</CharactersWithSpaces>
  <Paragraphs>184</Paragraphs>
  <Company>Succession Wealth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2025-06-04T11:23:04Z</dcterms:created>
  <dc:creator/>
  <dc:description/>
  <dc:language>en-GB</dc:language>
  <cp:lastModifiedBy/>
  <dcterms:modified xsi:type="dcterms:W3CDTF">2026-02-19T11:00:51Z</dcterms:modified>
  <cp:revision>4</cp:revision>
  <dc:subject/>
  <dc:title>Information Security Policy</dc:title>
</cp:coreProperties>
</file>

<file path=docProps/custom.xml><?xml version="1.0" encoding="utf-8"?>
<Properties xmlns="http://schemas.openxmlformats.org/officeDocument/2006/custom-properties" xmlns:vt="http://schemas.openxmlformats.org/officeDocument/2006/docPropsVTypes"/>
</file>