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rFonts w:ascii="Aptos" w:cs="Kalpurush" w:eastAsia="Kalpurush" w:hAnsi="Aptos" w:hint="default"/>
          <w:b/>
          <w:bCs/>
          <w:color w:val="244D89"/>
          <w:sz w:val="26"/>
          <w:szCs w:val="26"/>
        </w:rPr>
        <w:t xml:space="preserve">প্রতিবেদনের সারসংক্ষেপ</w:t>
      </w:r>
    </w:p>
    <w:tbl>
      <w:tblPr>
        <w:tblW w:type="pct" w:w="100%"/>
        <w:tblBorders>
          <w:top w:val="single" w:color="9FB3D1" w:sz="4"/>
          <w:left w:val="single" w:color="9FB3D1" w:sz="4"/>
          <w:bottom w:val="single" w:color="9FB3D1" w:sz="4"/>
          <w:right w:val="single" w:color="9FB3D1" w:sz="4"/>
          <w:insideH w:val="single" w:color="9FB3D1" w:sz="4"/>
          <w:insideV w:val="single" w:color="9FB3D1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2D559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b/>
                <w:bCs/>
                <w:color w:val="FFFFFF"/>
                <w:sz w:val="21"/>
                <w:szCs w:val="21"/>
              </w:rPr>
              <w:t xml:space="preserve">প্রকল্পের নাম</w:t>
            </w:r>
          </w:p>
        </w:tc>
        <w:tc>
          <w:tcPr>
            <w:tcW w:type="pct" w:w="65%"/>
            <w:shd w:fill="E8ED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color w:val="111827"/>
                <w:sz w:val="21"/>
                <w:szCs w:val="21"/>
              </w:rPr>
              <w:t xml:space="preserve">০২টি যাত্রীবাহী লিফট ও লিফট কোর নির্মাণ ও স্থাপন</w:t>
            </w:r>
          </w:p>
        </w:tc>
      </w:tr>
      <w:tr>
        <w:tc>
          <w:tcPr>
            <w:tcW w:type="pct" w:w="35%"/>
            <w:shd w:fill="2D559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b/>
                <w:bCs/>
                <w:color w:val="FFFFFF"/>
                <w:sz w:val="21"/>
                <w:szCs w:val="21"/>
              </w:rPr>
              <w:t xml:space="preserve">সরবরাহকারী প্রতিষ্ঠান</w:t>
            </w:r>
          </w:p>
        </w:tc>
        <w:tc>
          <w:tcPr>
            <w:tcW w:type="pct" w:w="65%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color w:val="111827"/>
                <w:sz w:val="21"/>
                <w:szCs w:val="21"/>
              </w:rPr>
              <w:t xml:space="preserve">Property Development Limited (Pvt.) Ltd. (PDL)</w:t>
            </w:r>
          </w:p>
        </w:tc>
      </w:tr>
      <w:tr>
        <w:tc>
          <w:tcPr>
            <w:tcW w:type="pct" w:w="35%"/>
            <w:shd w:fill="2D559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b/>
                <w:bCs/>
                <w:color w:val="FFFFFF"/>
                <w:sz w:val="21"/>
                <w:szCs w:val="21"/>
              </w:rPr>
              <w:t xml:space="preserve">চুক্তি মূল্য</w:t>
            </w:r>
          </w:p>
        </w:tc>
        <w:tc>
          <w:tcPr>
            <w:tcW w:type="pct" w:w="65%"/>
            <w:shd w:fill="E8ED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color w:val="111827"/>
                <w:sz w:val="21"/>
                <w:szCs w:val="21"/>
              </w:rPr>
              <w:t xml:space="preserve">২,২০,০০,০০০/- টাকা (লিফট: ৯৮,০০,০০০/-, কোর: ১,২২,০০,০০০/-)</w:t>
            </w:r>
          </w:p>
        </w:tc>
      </w:tr>
      <w:tr>
        <w:tc>
          <w:tcPr>
            <w:tcW w:type="pct" w:w="35%"/>
            <w:shd w:fill="2D559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b/>
                <w:bCs/>
                <w:color w:val="FFFFFF"/>
                <w:sz w:val="21"/>
                <w:szCs w:val="21"/>
              </w:rPr>
              <w:t xml:space="preserve">কার্য শুরুর তারিখ</w:t>
            </w:r>
          </w:p>
        </w:tc>
        <w:tc>
          <w:tcPr>
            <w:tcW w:type="pct" w:w="65%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color w:val="111827"/>
                <w:sz w:val="21"/>
                <w:szCs w:val="21"/>
              </w:rPr>
              <w:t xml:space="preserve">১৫ জুন ২০২৫</w:t>
            </w:r>
          </w:p>
        </w:tc>
      </w:tr>
      <w:tr>
        <w:tc>
          <w:tcPr>
            <w:tcW w:type="pct" w:w="35%"/>
            <w:shd w:fill="2D559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b/>
                <w:bCs/>
                <w:color w:val="FFFFFF"/>
                <w:sz w:val="21"/>
                <w:szCs w:val="21"/>
              </w:rPr>
              <w:t xml:space="preserve">নির্ধারিত সমাপ্তির তারিখ</w:t>
            </w:r>
          </w:p>
        </w:tc>
        <w:tc>
          <w:tcPr>
            <w:tcW w:type="pct" w:w="65%"/>
            <w:shd w:fill="E8ED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color w:val="111827"/>
                <w:sz w:val="21"/>
                <w:szCs w:val="21"/>
              </w:rPr>
              <w:t xml:space="preserve">১১ নভেম্বর ২০২৫</w:t>
            </w:r>
          </w:p>
        </w:tc>
      </w:tr>
      <w:tr>
        <w:tc>
          <w:tcPr>
            <w:tcW w:type="pct" w:w="35%"/>
            <w:shd w:fill="2D5594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b/>
                <w:bCs/>
                <w:color w:val="FFFFFF"/>
                <w:sz w:val="21"/>
                <w:szCs w:val="21"/>
              </w:rPr>
              <w:t xml:space="preserve">বিলম্বজনিত মোট জরিমানা</w:t>
            </w:r>
          </w:p>
        </w:tc>
        <w:tc>
          <w:tcPr>
            <w:tcW w:type="pct" w:w="65%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after="40"/>
            </w:pPr>
            <w:r>
              <w:rPr>
                <w:rFonts w:ascii="Aptos" w:cs="Kalpurush" w:eastAsia="Kalpurush" w:hAnsi="Aptos" w:hint="default"/>
                <w:color w:val="111827"/>
                <w:sz w:val="21"/>
                <w:szCs w:val="21"/>
              </w:rPr>
              <w:t xml:space="preserve">১০,৪৪,০০০/- (দশ লক্ষ চুয়াল্লিশ হাজার) টাকা</w:t>
            </w:r>
          </w:p>
        </w:tc>
      </w:tr>
    </w:tbl>
    <w:p>
      <w:pPr>
        <w:spacing w:after="220"/>
      </w:pPr>
    </w:p>
    <w:p>
      <w:pPr>
        <w:pBdr>
          <w:bottom w:val="single" w:color="B5893A" w:sz="6"/>
        </w:pBdr>
        <w:spacing w:after="120" w:before="220"/>
      </w:pPr>
      <w:r>
        <w:rPr>
          <w:rFonts w:ascii="Aptos" w:cs="Kalpurush" w:eastAsia="Kalpurush" w:hAnsi="Aptos" w:hint="default"/>
          <w:b/>
          <w:bCs/>
          <w:color w:val="1F3864"/>
          <w:sz w:val="26"/>
          <w:szCs w:val="26"/>
        </w:rPr>
        <w:t xml:space="preserve">১. প্রকল্পের সংক্ষিপ্ত বিবরণ 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রাজেন্দ্রপুর ক্যান্টনমেন্ট পাবলিক স্কুল ও কলেজের জন্য ০২ (দুই)টি SRH ব্র্যান্ডের Passenger Lift এবং সংশ্লিষ্ট Steel Structure Lift Core with Glass Cover নির্মাণ, সরবরাহ, স্থাপন, পরীক্ষা ও কমিশনিংয়ের কাজ Property Development Limited (Pvt.) Ltd. (PDL)-কে প্রদান করা হয়।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কোম্পানির প্রাথমিক প্রস্তাব/Financial Offer অনুযায়ী ০২টি লিফটের মোট মূল্য ৯৮,০০,০০০/- (আটানব্বই লক্ষ) টাকা এবং Steel Structure Lift Core-এর মূল্য ১,২২,০০,০০০/- (এক কোটি বাইশ লক্ষ) টাকা নির্ধারিত ছিল। লিফটের মূল্যের মধ্যে freight, duty, installation, testing এবং site commissioning অন্তর্ভুক্ত রয়েছে।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b/>
                <w:bCs/>
                <w:color w:val="FFFFFF"/>
                <w:sz w:val="19"/>
                <w:szCs w:val="19"/>
              </w:rPr>
              <w:t xml:space="preserve">আইটেমের বিবরণ</w:t>
            </w:r>
          </w:p>
        </w:tc>
        <w:tc>
          <w:tcPr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b/>
                <w:bCs/>
                <w:color w:val="FFFFFF"/>
                <w:sz w:val="19"/>
                <w:szCs w:val="19"/>
              </w:rPr>
              <w:t xml:space="preserve">পরিমাণ</w:t>
            </w:r>
          </w:p>
        </w:tc>
        <w:tc>
          <w:tcPr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b/>
                <w:bCs/>
                <w:color w:val="FFFFFF"/>
                <w:sz w:val="19"/>
                <w:szCs w:val="19"/>
              </w:rPr>
              <w:t xml:space="preserve">মূল্য (টাকা)</w:t>
            </w:r>
          </w:p>
        </w:tc>
      </w:tr>
      <w:tr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SRH ব্র্যান্ডের Passenger Lift (Freight, Duty, Installation, Testing &amp; Commissioning সহ)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০২টি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৯৮,০০,০০০/-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Steel Structure Lift Core with Glass Cover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০১টি লট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১,২২,০০,০০০/-</w:t>
            </w:r>
          </w:p>
        </w:tc>
      </w:tr>
      <w:tr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সর্বমোট চুক্তি মূল্য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২,২০,০০,০০০/-</w:t>
            </w:r>
          </w:p>
        </w:tc>
      </w:tr>
    </w:tbl>
    <w:p>
      <w:pPr>
        <w:pBdr>
          <w:bottom w:val="single" w:color="B5893A" w:sz="6"/>
        </w:pBdr>
        <w:spacing w:after="120" w:before="220"/>
      </w:pPr>
      <w:r>
        <w:rPr>
          <w:rFonts w:ascii="Aptos" w:cs="Kalpurush" w:eastAsia="Kalpurush" w:hAnsi="Aptos" w:hint="default"/>
          <w:b/>
          <w:bCs/>
          <w:color w:val="1F3864"/>
          <w:sz w:val="26"/>
          <w:szCs w:val="26"/>
        </w:rPr>
        <w:t xml:space="preserve">২. প্রকল্পের সময়সীমা ও বাস্তবায়নে বিলম্ব 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চুক্তি/কার্যাদেশ অনুযায়ী প্রকল্পের কাজ ১৫ জুন ২০২৫ তারিখে শুরু হয়ে নির্ধারিত সময়ের মধ্যে, অর্থাৎ ১১ নভেম্বর ২০২৫ তারিখের মধ্যে সম্পন্ন ও হস্তান্তর করার কথা ছিল।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কিন্তু নির্ধারিত সময়সীমার মধ্যে কাজ সম্পন্ন না হওয়ায় প্রকল্প বাস্তবায়নে বিলম্ব ঘটে। পরবর্তীতে কোম্পানি ১০ আগস্ট ২০২৬ তারিখে লিফটের Installation, Testing ও Commissioning সম্পন্ন হওয়ার বিষয় অবহিত করে হস্তান্তরের জন্য পত্র প্রদান করে। ফলে নির্ধারিত সময়ের তুলনায় কাজ সম্পন্ন করতে ২৭০ দিন বিলম্ব হয়েছে।</w:t>
      </w:r>
    </w:p>
    <w:p>
      <w:pPr>
        <w:pBdr>
          <w:bottom w:val="single" w:color="B5893A" w:sz="6"/>
        </w:pBdr>
        <w:spacing w:after="120" w:before="220"/>
      </w:pPr>
      <w:r>
        <w:rPr>
          <w:rFonts w:ascii="Aptos" w:cs="Kalpurush" w:eastAsia="Kalpurush" w:hAnsi="Aptos" w:hint="default"/>
          <w:b/>
          <w:bCs/>
          <w:color w:val="1F3864"/>
          <w:sz w:val="26"/>
          <w:szCs w:val="26"/>
        </w:rPr>
        <w:t xml:space="preserve">৩. চুক্তি অনুযায়ী সরবরাহ ও কাজের অবস্থা 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চুক্তি ও Technical Specification অনুযায়ী লিফট কোম্পানির নিকট থেকে যে সকল কাজ ও সরঞ্জামাদি সরবরাহ/সম্পন্ন করার কথা ছিল, কমিটির পরিদর্শন ও যাচাইয়ে সকল নির্ধারিত কাজ ও সরঞ্জামাদি যথাযথভাবে পাওয়া গেছে। এর মধ্যে উল্লেখযোগ্য কারিগরি বৈশিষ্ট্যসমূহ নিম্নরূপ: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ptos" w:cs="Kalpurush" w:eastAsia="Kalpurush" w:hAnsi="Aptos" w:hint="default"/>
                <w:b/>
                <w:bCs/>
                <w:color w:val="174C70"/>
                <w:sz w:val="21"/>
                <w:szCs w:val="21"/>
              </w:rPr>
              <w:t xml:space="preserve">বিশেষ দ্রষ্টব্য: Technical Specification-এ Camera-এর ক্ষেত্রে “Only provision” উল্লেখ থাকায় CCTV Camera-কে পৃথক সরবরাহযোগ্য item হিসেবে বিবেচনা করা হয়নি। তবে Camera স্থাপনের প্রয়োজনীয় provision যথাযথভাবে রাখা হয়েছে।</w:t>
            </w:r>
          </w:p>
        </w:tc>
      </w:tr>
    </w:tbl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০২টি SRH Passenger Lift (ধারণক্ষমতা: ১৬০০ কেজি / ২১ জন, ৮টি Floor/Stop, গতি: ১.০ মিটার/সেকেন্ড)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Gearless Traction Machine ও 11 KW Motor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VVVF Drive ও Microprocessor Controller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380VAC, 3 Phase, 50Hz electrical system-এর উপযোগী Lift System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ARD (Auto Rescue Device) এবং AVR (Auto Voltage Regulator)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Emergency Light, Alarm ও Overload Signal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3-Way Intercom ও Password System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LCD Floor Indicator এবং EN-81 অনুযায়ী Safety System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Steel Rope ও Speed Governor Rope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নির্ধারিত specification অনুযায়ী SS ও Glass Cabin এবং Lift Door ও Landing Door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Steel Structure Lift Core with Glass Cover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প্রয়োজনীয় Installation, Testing ও Commissioning</w:t>
      </w:r>
    </w:p>
    <w:p>
      <w:pPr>
        <w:pBdr>
          <w:bottom w:val="single" w:color="B5893A" w:sz="6"/>
        </w:pBdr>
        <w:spacing w:after="120" w:before="220"/>
      </w:pPr>
      <w:r>
        <w:rPr>
          <w:rFonts w:ascii="Aptos" w:cs="Kalpurush" w:eastAsia="Kalpurush" w:hAnsi="Aptos" w:hint="default"/>
          <w:b/>
          <w:bCs/>
          <w:color w:val="1F3864"/>
          <w:sz w:val="26"/>
          <w:szCs w:val="26"/>
        </w:rPr>
        <w:t xml:space="preserve">৪. ওয়ারেন্টি ও ফ্রি সার্ভিস (Warranty &amp; Maintenance) 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চুক্তি ও Technical Specification অনুযায়ী লিফট হস্তান্তরের তারিখ হতে কোম্পানি নিম্নোক্ত সেবাসমূহ প্রদান করতে দায়বদ্ধ থাকবে: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সুতরাং, লিফট হস্তান্তরের সময় উক্ত Warranty ও Free Service-এর বিষয়টি যথাযথভাবে নথিভুক্ত করে কোম্পানির নিকট হতে প্রয়োজনীয় আনুষ্ঠানিক নিশ্চয়তা গ্রহণ করা হবে।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১৮ (আঠারো) মাস Warranty ও Guarantee</w:t>
      </w:r>
    </w:p>
    <w:p>
      <w:pPr>
        <w:pStyle w:val="ListParagraph"/>
        <w:numPr>
          <w:ilvl w:val="0"/>
          <w:numId w:val="1"/>
        </w:numPr>
        <w:spacing w:after="65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২৪ (চব্বিশ) মাস Free Service ও Maintenance</w:t>
      </w:r>
    </w:p>
    <w:p>
      <w:pPr>
        <w:pBdr>
          <w:bottom w:val="single" w:color="B5893A" w:sz="6"/>
        </w:pBdr>
        <w:spacing w:after="120" w:before="220"/>
      </w:pPr>
      <w:r>
        <w:rPr>
          <w:rFonts w:ascii="Aptos" w:cs="Kalpurush" w:eastAsia="Kalpurush" w:hAnsi="Aptos" w:hint="default"/>
          <w:b/>
          <w:bCs/>
          <w:color w:val="1F3864"/>
          <w:sz w:val="26"/>
          <w:szCs w:val="26"/>
        </w:rPr>
        <w:t xml:space="preserve">৫. চুক্তি মোতাবেক বিলম্বজনিত জরিমানা নির্ধারণ 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যদিও কোম্পানি কর্তৃক চুক্তি ও Technical Specification অনুযায়ী নির্ধারিত সকল কাজ ও সরঞ্জামাদি সরবরাহ এবং Installation, Testing ও Commissioning সম্পন্ন করা হয়েছে, তথাপি নির্ধারিত সময়সীমার মধ্যে প্রকল্পের কাজ সম্পন্ন করা হয়নি। চুক্তির শর্ত মোতাবেক বিলম্বজনিত জরিমানা কার্যকর হবে।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নির্ধারিত শেষ তারিখ ১২ নভেম্বর ২০২৫ এবং হস্তান্তরের তারিখ ৩১ জুলাই ২০২৬ বিবেচনায় মোট ২৬১ দিনের বিলম্ব হিসাব করা হয়েছে।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ptos" w:cs="Kalpurush" w:eastAsia="Kalpurush" w:hAnsi="Aptos" w:hint="default"/>
                <w:b/>
                <w:bCs/>
                <w:color w:val="174C70"/>
                <w:sz w:val="21"/>
                <w:szCs w:val="21"/>
              </w:rPr>
              <w:t xml:space="preserve">জরিমানা হিসাব সূত্র: ২৬১ দিন × ৪,০০০/- টাকা = ১০,৪৪,০০০/- (দশ লক্ষ চুয়াল্লিশ হাজার) টাকা মাত্র কোম্পানির চূড়ান্ত বিল হতে কর্তনযোগ্য।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b/>
                <w:bCs/>
                <w:color w:val="FFFFFF"/>
                <w:sz w:val="19"/>
                <w:szCs w:val="19"/>
              </w:rPr>
              <w:t xml:space="preserve">বিবরণ</w:t>
            </w:r>
          </w:p>
        </w:tc>
        <w:tc>
          <w:tcPr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b/>
                <w:bCs/>
                <w:color w:val="FFFFFF"/>
                <w:sz w:val="19"/>
                <w:szCs w:val="19"/>
              </w:rPr>
              <w:t xml:space="preserve">দৈনিক জরিমানার হার</w:t>
            </w:r>
          </w:p>
        </w:tc>
        <w:tc>
          <w:tcPr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b/>
                <w:bCs/>
                <w:color w:val="FFFFFF"/>
                <w:sz w:val="19"/>
                <w:szCs w:val="19"/>
              </w:rPr>
              <w:t xml:space="preserve">বিলম্বিত কার্যদিবস</w:t>
            </w:r>
          </w:p>
        </w:tc>
        <w:tc>
          <w:tcPr>
            <w:shd w:fill="16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b/>
                <w:bCs/>
                <w:color w:val="FFFFFF"/>
                <w:sz w:val="19"/>
                <w:szCs w:val="19"/>
              </w:rPr>
              <w:t xml:space="preserve">মোট জরিমানার পরিমাণ (টাকা)</w:t>
            </w:r>
          </w:p>
        </w:tc>
      </w:tr>
      <w:tr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Lift Core বিলম্ব জরিমানা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২,০০০/- টাকা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২৬১ দিন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৫,২২,০০০/-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০২টি Lift বিলম্ব জরিমানা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২,০০০/- টাকা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২৬১ দিন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৫,২২,০০০/-</w:t>
            </w:r>
          </w:p>
        </w:tc>
      </w:tr>
      <w:tr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সর্বমোট প্রযোজ্য জরিমানা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৪,০০০/- টাকা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২৬১ দিন</w:t>
            </w:r>
          </w:p>
        </w:tc>
        <w:tc>
          <w:tcPr>
            <w:shd w:fill="F5F9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Kalpurush" w:eastAsia="Kalpurush" w:hAnsi="Aptos" w:hint="default"/>
                <w:color w:val="111827"/>
                <w:sz w:val="19"/>
                <w:szCs w:val="19"/>
              </w:rPr>
              <w:t xml:space="preserve">১০,৪৪,০০০/-</w:t>
            </w:r>
          </w:p>
        </w:tc>
      </w:tr>
    </w:tbl>
    <w:p>
      <w:pPr>
        <w:pBdr>
          <w:bottom w:val="single" w:color="B5893A" w:sz="6"/>
        </w:pBdr>
        <w:spacing w:after="120" w:before="220"/>
      </w:pPr>
      <w:r>
        <w:rPr>
          <w:rFonts w:ascii="Aptos" w:cs="Kalpurush" w:eastAsia="Kalpurush" w:hAnsi="Aptos" w:hint="default"/>
          <w:b/>
          <w:bCs/>
          <w:color w:val="1F3864"/>
          <w:sz w:val="26"/>
          <w:szCs w:val="26"/>
        </w:rPr>
        <w:t xml:space="preserve">৬. কমিটির মতামত ও সুপারিশ 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সার্বিক পর্যালোচনায় প্রতীয়মান হয় যে, লিফট কোম্পানি কর্তৃক চুক্তি/Technical Specification অনুযায়ী নির্ধারিত সকল কাজ ও সরঞ্জামাদি সরবরাহ এবং স্থাপন করা হয়েছে এবং লিফটসমূহ Testing ও Commissioning সম্পন্ন করে ব্যবহারের উপযোগী করা হয়েছে।</w:t>
      </w:r>
    </w:p>
    <w:p>
      <w:pPr>
        <w:spacing w:after="120" w:line="300"/>
      </w:pPr>
      <w:r>
        <w:rPr>
          <w:rFonts w:ascii="Aptos" w:cs="Kalpurush" w:eastAsia="Kalpurush" w:hAnsi="Aptos" w:hint="default"/>
          <w:color w:val="111827"/>
          <w:sz w:val="21"/>
          <w:szCs w:val="21"/>
        </w:rPr>
        <w:t xml:space="preserve">অতএব, লিফটের কাজ ও সরবরাহকৃত সরঞ্জামাদি বিষয়ে কমিটির কোনো আপত্তি নেই এবং প্রযোজ্য জরিমানা বাবদ ১০,৪৪,০০০/- (দশ লক্ষ চুয়াল্লিশ হাজার) টাকা কর্তন সাপেক্ষে লিফটসমূহ চূড়ান্তভাবে হস্তান্তর গ্রহণের জন্য উপযুক্ত মর্মে কমিটি সর্বসম্মত মতামত ও সুপারিশ প্রদান করছে।</w:t>
      </w:r>
    </w:p>
    <w:p>
      <w:pPr>
        <w:pBdr>
          <w:bottom w:val="single" w:color="B5893A" w:sz="6"/>
        </w:pBdr>
        <w:spacing w:after="120" w:before="220"/>
      </w:pPr>
      <w:r>
        <w:rPr>
          <w:rFonts w:ascii="Aptos" w:cs="Kalpurush" w:eastAsia="Kalpurush" w:hAnsi="Aptos" w:hint="default"/>
          <w:b/>
          <w:bCs/>
          <w:color w:val="1F3864"/>
          <w:sz w:val="26"/>
          <w:szCs w:val="26"/>
        </w:rPr>
        <w:t xml:space="preserve">৭. পরিদর্শন ও হস্তান্তর মূল্যায়ন কমিটির স্বাক্ষর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সভাপতি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সভাপতি, পরিদর্শন ও মূল্যায়ন কমিটি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______________________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সদস্য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সদস্য ১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______________________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সদস্য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সদস্য ২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______________________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সদস্য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সদস্য ৩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______________________</w:t>
            </w:r>
          </w:p>
        </w:tc>
      </w:tr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সদস্য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সদস্য ৪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bottom w:type="dxa" w:w="120"/>
            </w:tcMar>
          </w:tcPr>
          <w:p>
            <w:r>
              <w:rPr>
                <w:rFonts w:ascii="Aptos" w:cs="Kalpurush" w:eastAsia="Kalpurush" w:hAnsi="Aptos" w:hint="default"/>
                <w:color w:val="000000"/>
                <w:sz w:val="21"/>
                <w:szCs w:val="21"/>
              </w:rPr>
              <w:t xml:space="preserve">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FB3D1" w:sz="4" w:space="1"/>
      </w:pBdr>
      <w:jc w:val="center"/>
    </w:pPr>
    <w:r>
      <w:rPr>
        <w:rFonts w:ascii="Aptos" w:cs="Kalpurush" w:eastAsia="Kalpurush" w:hAnsi="Aptos" w:hint="default"/>
        <w:color w:val="4B5563"/>
        <w:sz w:val="18"/>
        <w:szCs w:val="18"/>
      </w:rPr>
      <w:t xml:space="preserve">পৃষ্ঠা </w:t>
    </w:r>
    <w:r>
      <w:rPr>
        <w:rFonts w:ascii="Aptos" w:cs="Kalpurush" w:eastAsia="Kalpurush" w:hAnsi="Aptos" w:hint="default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Kalpurush" w:eastAsia="Kalpurush" w:hAnsi="Aptos" w:hint="default"/>
        <w:color w:val="4B5563"/>
        <w:sz w:val="18"/>
        <w:szCs w:val="18"/>
      </w:rPr>
      <w:t xml:space="preserve"> এর </w:t>
    </w:r>
    <w:r>
      <w:rPr>
        <w:rFonts w:ascii="Aptos" w:cs="Kalpurush" w:eastAsia="Kalpurush" w:hAnsi="Aptos" w:hint="default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4D89" w:sz="6" w:space="4"/>
      </w:pBdr>
      <w:tabs>
        <w:tab w:val="right" w:pos="9026"/>
      </w:tabs>
      <w:spacing w:after="120"/>
    </w:pPr>
    <w:r>
      <w:rPr>
        <w:rFonts w:ascii="Aptos" w:cs="Kalpurush" w:eastAsia="Kalpurush" w:hAnsi="Aptos" w:hint="default"/>
        <w:b/>
        <w:bCs/>
        <w:color w:val="244D89"/>
        <w:sz w:val="18"/>
        <w:szCs w:val="18"/>
      </w:rPr>
      <w:t xml:space="preserve">রাজেন্দ্রপুর ক্যান্টনমেন্ট পাবলিক স্কুল ও কলেজ</w:t>
    </w:r>
    <w:r>
      <w:rPr>
        <w:rFonts w:ascii="Aptos" w:cs="Kalpurush" w:eastAsia="Kalpurush" w:hAnsi="Aptos" w:hint="default"/>
        <w:sz w:val="18"/>
        <w:szCs w:val="18"/>
      </w:rPr>
      <w:t xml:space="preserve">	</w:t>
    </w:r>
    <w:r>
      <w:rPr>
        <w:rFonts w:ascii="Aptos" w:cs="Kalpurush" w:eastAsia="Kalpurush" w:hAnsi="Aptos" w:hint="default"/>
        <w:color w:val="244D89"/>
        <w:sz w:val="18"/>
        <w:szCs w:val="18"/>
      </w:rPr>
      <w:t xml:space="preserve">১৫ জুন ২০২৫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2026-08-19T12:38:00.282Z</dcterms:created>
  <dcterms:modified xsi:type="dcterms:W3CDTF">2026-08-19T12:38:00.282Z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